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488DB" w14:textId="77777777" w:rsidR="0062521E" w:rsidRDefault="00F417E0">
      <w:pPr>
        <w:rPr>
          <w:rStyle w:val="ng-star-inserted1"/>
          <w:rFonts w:ascii="Arial" w:hAnsi="Arial" w:cs="Arial"/>
          <w:b/>
          <w:bCs/>
          <w:sz w:val="20"/>
          <w:szCs w:val="20"/>
        </w:rPr>
      </w:pPr>
      <w:r>
        <w:rPr>
          <w:rStyle w:val="ng-star-inserted1"/>
          <w:rFonts w:ascii="Arial" w:hAnsi="Arial" w:cs="Arial"/>
          <w:b/>
          <w:bCs/>
          <w:sz w:val="20"/>
          <w:szCs w:val="20"/>
        </w:rPr>
        <w:t>Supplementary Figure</w:t>
      </w:r>
      <w:r>
        <w:rPr>
          <w:rStyle w:val="ng-star-inserted1"/>
          <w:rFonts w:ascii="Arial" w:hAnsi="Arial" w:cs="Arial" w:hint="eastAsia"/>
          <w:b/>
          <w:bCs/>
          <w:sz w:val="20"/>
          <w:szCs w:val="20"/>
        </w:rPr>
        <w:t xml:space="preserve"> Legends</w:t>
      </w:r>
    </w:p>
    <w:p w14:paraId="61E488DC" w14:textId="77777777" w:rsidR="0062521E" w:rsidRDefault="00F417E0">
      <w:pPr>
        <w:rPr>
          <w:rStyle w:val="ng-star-inserted"/>
          <w:rFonts w:ascii="Arial" w:hAnsi="Arial" w:cs="Arial"/>
          <w:b/>
          <w:bCs/>
          <w:color w:val="1A1C1E"/>
          <w:szCs w:val="21"/>
          <w:shd w:val="clear" w:color="auto" w:fill="FFFFFF"/>
        </w:rPr>
      </w:pPr>
      <w:r>
        <w:rPr>
          <w:rStyle w:val="ng-star-inserted1"/>
          <w:rFonts w:ascii="Arial" w:hAnsi="Arial" w:cs="Arial"/>
          <w:b/>
          <w:bCs/>
          <w:sz w:val="20"/>
          <w:szCs w:val="20"/>
        </w:rPr>
        <w:t xml:space="preserve">Supplementary Figure 1: </w:t>
      </w:r>
      <w:r>
        <w:rPr>
          <w:rStyle w:val="ng-star-inserted"/>
          <w:rFonts w:ascii="Arial" w:hAnsi="Arial" w:cs="Arial" w:hint="eastAsia"/>
          <w:b/>
          <w:bCs/>
          <w:color w:val="1A1C1E"/>
          <w:szCs w:val="21"/>
          <w:shd w:val="clear" w:color="auto" w:fill="FFFFFF"/>
        </w:rPr>
        <w:t>Rarefaction analysis confirms adequate sequencing depth for capturing bacterial and fungal diversity in hair follicle samples</w:t>
      </w:r>
    </w:p>
    <w:p w14:paraId="61E488DD" w14:textId="77777777" w:rsidR="0062521E" w:rsidRDefault="00F417E0">
      <w:pPr>
        <w:rPr>
          <w:rStyle w:val="ng-star-inserted1"/>
          <w:rFonts w:ascii="Arial" w:hAnsi="Arial" w:cs="Arial"/>
          <w:sz w:val="20"/>
          <w:szCs w:val="20"/>
        </w:rPr>
      </w:pPr>
      <w:r>
        <w:rPr>
          <w:rStyle w:val="ng-star-inserted1"/>
          <w:rFonts w:ascii="Arial" w:hAnsi="Arial" w:cs="Arial" w:hint="eastAsia"/>
          <w:sz w:val="20"/>
          <w:szCs w:val="20"/>
        </w:rPr>
        <w:t>(a) Bacterial 16S rRNA gene and (b) fungal ITS region rarefaction curves across all samples reach the plateau phase, verifying that the sequencing depth was sufficient to capture the majority of microbial diversity.</w:t>
      </w:r>
    </w:p>
    <w:p w14:paraId="61E488DE" w14:textId="77777777" w:rsidR="0062521E" w:rsidRDefault="00F417E0">
      <w:pPr>
        <w:rPr>
          <w:rFonts w:ascii="Arial" w:hAnsi="Arial" w:cs="Arial"/>
          <w:sz w:val="20"/>
          <w:szCs w:val="20"/>
        </w:rPr>
      </w:pPr>
      <w:r>
        <w:rPr>
          <w:rStyle w:val="ng-star-inserted1"/>
          <w:rFonts w:ascii="Arial" w:hAnsi="Arial" w:cs="Arial"/>
          <w:b/>
          <w:bCs/>
          <w:sz w:val="20"/>
          <w:szCs w:val="20"/>
        </w:rPr>
        <w:t>Abbreviations:</w:t>
      </w:r>
      <w:r>
        <w:rPr>
          <w:rStyle w:val="ng-star-inserted1"/>
          <w:rFonts w:ascii="Arial" w:hAnsi="Arial" w:cs="Arial"/>
          <w:sz w:val="20"/>
          <w:szCs w:val="20"/>
        </w:rPr>
        <w:t xml:space="preserve"> OA, occipital alopecia; OC, occipital control; TA, top alopecia; TC, top control.</w:t>
      </w:r>
    </w:p>
    <w:p w14:paraId="61E488DF" w14:textId="77777777" w:rsidR="0062521E" w:rsidRDefault="0062521E">
      <w:pPr>
        <w:rPr>
          <w:rStyle w:val="ng-star-inserted1"/>
          <w:rFonts w:ascii="Arial" w:hAnsi="Arial" w:cs="Arial"/>
          <w:b/>
          <w:bCs/>
          <w:sz w:val="20"/>
          <w:szCs w:val="20"/>
        </w:rPr>
      </w:pPr>
    </w:p>
    <w:p w14:paraId="61E488E0" w14:textId="77777777" w:rsidR="0062521E" w:rsidRDefault="00F417E0">
      <w:pPr>
        <w:rPr>
          <w:rStyle w:val="ng-star-inserted"/>
          <w:rFonts w:ascii="Arial" w:hAnsi="Arial" w:cs="Arial"/>
          <w:color w:val="1A1C1E"/>
          <w:sz w:val="20"/>
          <w:szCs w:val="20"/>
          <w:shd w:val="clear" w:color="auto" w:fill="FFFFFF"/>
        </w:rPr>
      </w:pPr>
      <w:r>
        <w:rPr>
          <w:rStyle w:val="ng-star-inserted1"/>
          <w:rFonts w:ascii="Arial" w:hAnsi="Arial" w:cs="Arial"/>
          <w:b/>
          <w:bCs/>
          <w:sz w:val="20"/>
          <w:szCs w:val="20"/>
        </w:rPr>
        <w:t>Supplementary Figure 2</w:t>
      </w:r>
      <w:r>
        <w:rPr>
          <w:rStyle w:val="ng-star-inserted"/>
          <w:rFonts w:ascii="Arial" w:hAnsi="Arial" w:cs="Arial"/>
          <w:b/>
          <w:bCs/>
          <w:color w:val="1A1C1E"/>
          <w:sz w:val="20"/>
          <w:szCs w:val="20"/>
          <w:shd w:val="clear" w:color="auto" w:fill="FFFFFF"/>
        </w:rPr>
        <w:t>:</w:t>
      </w:r>
      <w:r>
        <w:rPr>
          <w:rStyle w:val="ng-star-inserted"/>
          <w:rFonts w:ascii="Arial" w:hAnsi="Arial" w:cs="Arial"/>
          <w:color w:val="1A1C1E"/>
          <w:sz w:val="20"/>
          <w:szCs w:val="20"/>
          <w:shd w:val="clear" w:color="auto" w:fill="FFFFFF"/>
        </w:rPr>
        <w:t> </w:t>
      </w:r>
      <w:r>
        <w:rPr>
          <w:rStyle w:val="ng-star-inserted"/>
          <w:rFonts w:ascii="Arial Bold Italic" w:eastAsia="SimSun" w:hAnsi="Arial Bold Italic" w:cs="Arial Bold Italic"/>
          <w:b/>
          <w:bCs/>
          <w:i/>
          <w:iCs/>
          <w:color w:val="1A1C1E"/>
          <w:sz w:val="20"/>
          <w:szCs w:val="20"/>
          <w:shd w:val="clear" w:color="auto" w:fill="FFFFFF"/>
        </w:rPr>
        <w:t>Firmicutes</w:t>
      </w:r>
      <w:r>
        <w:rPr>
          <w:rStyle w:val="ng-star-inserted"/>
          <w:rFonts w:ascii="Arial" w:eastAsia="SimSun" w:hAnsi="Arial" w:cs="Arial" w:hint="eastAsia"/>
          <w:b/>
          <w:bCs/>
          <w:color w:val="1A1C1E"/>
          <w:sz w:val="20"/>
          <w:szCs w:val="20"/>
          <w:shd w:val="clear" w:color="auto" w:fill="FFFFFF"/>
        </w:rPr>
        <w:t xml:space="preserve"> and </w:t>
      </w:r>
      <w:r>
        <w:rPr>
          <w:rStyle w:val="ng-star-inserted"/>
          <w:rFonts w:ascii="Arial Bold Italic" w:eastAsia="SimSun" w:hAnsi="Arial Bold Italic" w:cs="Arial Bold Italic"/>
          <w:b/>
          <w:bCs/>
          <w:i/>
          <w:iCs/>
          <w:color w:val="1A1C1E"/>
          <w:sz w:val="20"/>
          <w:szCs w:val="20"/>
          <w:shd w:val="clear" w:color="auto" w:fill="FFFFFF"/>
        </w:rPr>
        <w:t>Proteobacteria</w:t>
      </w:r>
      <w:r>
        <w:rPr>
          <w:rStyle w:val="ng-star-inserted"/>
          <w:rFonts w:ascii="Arial" w:eastAsia="SimSun" w:hAnsi="Arial" w:cs="Arial" w:hint="eastAsia"/>
          <w:b/>
          <w:bCs/>
          <w:color w:val="1A1C1E"/>
          <w:sz w:val="20"/>
          <w:szCs w:val="20"/>
          <w:shd w:val="clear" w:color="auto" w:fill="FFFFFF"/>
        </w:rPr>
        <w:t xml:space="preserve"> dominate the baseline bacterial community composition across all scalp follicle samples</w:t>
      </w:r>
      <w:r>
        <w:rPr>
          <w:rStyle w:val="ng-star-inserted"/>
          <w:rFonts w:ascii="Arial" w:hAnsi="Arial" w:cs="Arial"/>
          <w:color w:val="1A1C1E"/>
          <w:sz w:val="20"/>
          <w:szCs w:val="20"/>
          <w:shd w:val="clear" w:color="auto" w:fill="FFFFFF"/>
        </w:rPr>
        <w:t xml:space="preserve"> </w:t>
      </w:r>
    </w:p>
    <w:p w14:paraId="61E488E1" w14:textId="77777777" w:rsidR="0062521E" w:rsidRDefault="00F417E0">
      <w:pPr>
        <w:rPr>
          <w:rStyle w:val="ng-star-inserted"/>
          <w:rFonts w:ascii="Arial" w:hAnsi="Arial" w:cs="Arial"/>
          <w:color w:val="1A1C1E"/>
          <w:sz w:val="20"/>
          <w:szCs w:val="20"/>
          <w:shd w:val="clear" w:color="auto" w:fill="FFFFFF"/>
        </w:rPr>
      </w:pPr>
      <w:r>
        <w:rPr>
          <w:rStyle w:val="ng-star-inserted"/>
          <w:rFonts w:ascii="Arial" w:hAnsi="Arial" w:cs="Arial" w:hint="eastAsia"/>
          <w:color w:val="1A1C1E"/>
          <w:sz w:val="20"/>
          <w:szCs w:val="20"/>
          <w:shd w:val="clear" w:color="auto" w:fill="FFFFFF"/>
        </w:rPr>
        <w:t xml:space="preserve">Taxonomic profiling of the bacterial community is shown at the phylum (a), class (b), order (c), family (d), and genus (e) levels. Major identified taxa include </w:t>
      </w:r>
      <w:r>
        <w:rPr>
          <w:rStyle w:val="ng-star-inserted"/>
          <w:rFonts w:ascii="Arial Italic" w:hAnsi="Arial Italic" w:cs="Arial Italic"/>
          <w:i/>
          <w:iCs/>
          <w:color w:val="1A1C1E"/>
          <w:sz w:val="20"/>
          <w:szCs w:val="20"/>
          <w:shd w:val="clear" w:color="auto" w:fill="FFFFFF"/>
        </w:rPr>
        <w:t>Firmicutes</w:t>
      </w:r>
      <w:r>
        <w:rPr>
          <w:rStyle w:val="ng-star-inserted"/>
          <w:rFonts w:ascii="Arial" w:hAnsi="Arial" w:cs="Arial" w:hint="eastAsia"/>
          <w:color w:val="1A1C1E"/>
          <w:sz w:val="20"/>
          <w:szCs w:val="20"/>
          <w:shd w:val="clear" w:color="auto" w:fill="FFFFFF"/>
        </w:rPr>
        <w:t xml:space="preserve"> and </w:t>
      </w:r>
      <w:r>
        <w:rPr>
          <w:rStyle w:val="ng-star-inserted"/>
          <w:rFonts w:ascii="Arial Italic" w:hAnsi="Arial Italic" w:cs="Arial Italic"/>
          <w:i/>
          <w:iCs/>
          <w:color w:val="1A1C1E"/>
          <w:sz w:val="20"/>
          <w:szCs w:val="20"/>
          <w:shd w:val="clear" w:color="auto" w:fill="FFFFFF"/>
        </w:rPr>
        <w:t>Proteobacteria</w:t>
      </w:r>
      <w:r>
        <w:rPr>
          <w:rStyle w:val="ng-star-inserted"/>
          <w:rFonts w:ascii="Arial" w:hAnsi="Arial" w:cs="Arial" w:hint="eastAsia"/>
          <w:color w:val="1A1C1E"/>
          <w:sz w:val="20"/>
          <w:szCs w:val="20"/>
          <w:shd w:val="clear" w:color="auto" w:fill="FFFFFF"/>
        </w:rPr>
        <w:t xml:space="preserve"> at the phylum level; </w:t>
      </w:r>
      <w:r>
        <w:rPr>
          <w:rStyle w:val="ng-star-inserted"/>
          <w:rFonts w:ascii="Arial Italic" w:hAnsi="Arial Italic" w:cs="Arial Italic"/>
          <w:i/>
          <w:iCs/>
          <w:color w:val="1A1C1E"/>
          <w:sz w:val="20"/>
          <w:szCs w:val="20"/>
          <w:shd w:val="clear" w:color="auto" w:fill="FFFFFF"/>
        </w:rPr>
        <w:t>Clostridia</w:t>
      </w:r>
      <w:r>
        <w:rPr>
          <w:rStyle w:val="ng-star-inserted"/>
          <w:rFonts w:ascii="Arial" w:hAnsi="Arial" w:cs="Arial" w:hint="eastAsia"/>
          <w:color w:val="1A1C1E"/>
          <w:sz w:val="20"/>
          <w:szCs w:val="20"/>
          <w:shd w:val="clear" w:color="auto" w:fill="FFFFFF"/>
        </w:rPr>
        <w:t xml:space="preserve"> and </w:t>
      </w:r>
      <w:r>
        <w:rPr>
          <w:rStyle w:val="ng-star-inserted"/>
          <w:rFonts w:ascii="Arial Italic" w:hAnsi="Arial Italic" w:cs="Arial Italic"/>
          <w:i/>
          <w:iCs/>
          <w:color w:val="1A1C1E"/>
          <w:sz w:val="20"/>
          <w:szCs w:val="20"/>
          <w:shd w:val="clear" w:color="auto" w:fill="FFFFFF"/>
        </w:rPr>
        <w:t>Bacteroidia</w:t>
      </w:r>
      <w:r>
        <w:rPr>
          <w:rStyle w:val="ng-star-inserted"/>
          <w:rFonts w:ascii="Arial" w:hAnsi="Arial" w:cs="Arial" w:hint="eastAsia"/>
          <w:color w:val="1A1C1E"/>
          <w:sz w:val="20"/>
          <w:szCs w:val="20"/>
          <w:shd w:val="clear" w:color="auto" w:fill="FFFFFF"/>
        </w:rPr>
        <w:t xml:space="preserve"> at the class level; and </w:t>
      </w:r>
      <w:r>
        <w:rPr>
          <w:rStyle w:val="ng-star-inserted"/>
          <w:rFonts w:ascii="Arial Italic" w:hAnsi="Arial Italic" w:cs="Arial Italic"/>
          <w:i/>
          <w:iCs/>
          <w:color w:val="1A1C1E"/>
          <w:sz w:val="20"/>
          <w:szCs w:val="20"/>
          <w:shd w:val="clear" w:color="auto" w:fill="FFFFFF"/>
        </w:rPr>
        <w:t>Corynebacterium</w:t>
      </w:r>
      <w:r>
        <w:rPr>
          <w:rStyle w:val="ng-star-inserted"/>
          <w:rFonts w:ascii="Arial" w:hAnsi="Arial" w:cs="Arial" w:hint="eastAsia"/>
          <w:color w:val="1A1C1E"/>
          <w:sz w:val="20"/>
          <w:szCs w:val="20"/>
          <w:shd w:val="clear" w:color="auto" w:fill="FFFFFF"/>
        </w:rPr>
        <w:t xml:space="preserve">, </w:t>
      </w:r>
      <w:r>
        <w:rPr>
          <w:rStyle w:val="ng-star-inserted"/>
          <w:rFonts w:ascii="Arial Italic" w:hAnsi="Arial Italic" w:cs="Arial Italic"/>
          <w:i/>
          <w:iCs/>
          <w:color w:val="1A1C1E"/>
          <w:sz w:val="20"/>
          <w:szCs w:val="20"/>
          <w:shd w:val="clear" w:color="auto" w:fill="FFFFFF"/>
        </w:rPr>
        <w:t>Bacteroides</w:t>
      </w:r>
      <w:r>
        <w:rPr>
          <w:rStyle w:val="ng-star-inserted"/>
          <w:rFonts w:ascii="Arial" w:hAnsi="Arial" w:cs="Arial" w:hint="eastAsia"/>
          <w:color w:val="1A1C1E"/>
          <w:sz w:val="20"/>
          <w:szCs w:val="20"/>
          <w:shd w:val="clear" w:color="auto" w:fill="FFFFFF"/>
        </w:rPr>
        <w:t xml:space="preserve">, and </w:t>
      </w:r>
      <w:r>
        <w:rPr>
          <w:rStyle w:val="ng-star-inserted"/>
          <w:rFonts w:ascii="Arial Italic" w:hAnsi="Arial Italic" w:cs="Arial Italic"/>
          <w:i/>
          <w:iCs/>
          <w:color w:val="1A1C1E"/>
          <w:sz w:val="20"/>
          <w:szCs w:val="20"/>
          <w:shd w:val="clear" w:color="auto" w:fill="FFFFFF"/>
        </w:rPr>
        <w:t>Staphylococcus</w:t>
      </w:r>
      <w:r>
        <w:rPr>
          <w:rStyle w:val="ng-star-inserted"/>
          <w:rFonts w:ascii="Arial" w:hAnsi="Arial" w:cs="Arial" w:hint="eastAsia"/>
          <w:color w:val="1A1C1E"/>
          <w:sz w:val="20"/>
          <w:szCs w:val="20"/>
          <w:shd w:val="clear" w:color="auto" w:fill="FFFFFF"/>
        </w:rPr>
        <w:t xml:space="preserve"> at the genus level.</w:t>
      </w:r>
    </w:p>
    <w:p w14:paraId="61E488E2" w14:textId="77777777" w:rsidR="0062521E" w:rsidRDefault="00F417E0">
      <w:pPr>
        <w:rPr>
          <w:rFonts w:ascii="Arial" w:hAnsi="Arial" w:cs="Arial"/>
          <w:sz w:val="20"/>
          <w:szCs w:val="20"/>
        </w:rPr>
      </w:pPr>
      <w:r>
        <w:rPr>
          <w:rStyle w:val="ng-star-inserted1"/>
          <w:rFonts w:ascii="Arial" w:hAnsi="Arial" w:cs="Arial"/>
          <w:b/>
          <w:bCs/>
          <w:sz w:val="20"/>
          <w:szCs w:val="20"/>
        </w:rPr>
        <w:t>Abbreviations:</w:t>
      </w:r>
      <w:r>
        <w:rPr>
          <w:rStyle w:val="ng-star-inserted1"/>
          <w:rFonts w:ascii="Arial" w:hAnsi="Arial" w:cs="Arial"/>
          <w:sz w:val="20"/>
          <w:szCs w:val="20"/>
        </w:rPr>
        <w:t xml:space="preserve"> OA, occipital alopecia; OC, occipital control; TA, top alopecia; TC, top control.</w:t>
      </w:r>
    </w:p>
    <w:p w14:paraId="61E488E3" w14:textId="77777777" w:rsidR="0062521E" w:rsidRDefault="0062521E">
      <w:pPr>
        <w:rPr>
          <w:rStyle w:val="ng-star-inserted1"/>
          <w:rFonts w:ascii="Arial" w:hAnsi="Arial" w:cs="Arial"/>
          <w:b/>
          <w:bCs/>
          <w:sz w:val="20"/>
          <w:szCs w:val="20"/>
        </w:rPr>
      </w:pPr>
    </w:p>
    <w:p w14:paraId="61E488E4" w14:textId="77777777" w:rsidR="0062521E" w:rsidRDefault="00F417E0">
      <w:pPr>
        <w:rPr>
          <w:rStyle w:val="ng-star-inserted"/>
          <w:rFonts w:ascii="Arial" w:hAnsi="Arial" w:cs="Arial"/>
          <w:b/>
          <w:bCs/>
          <w:color w:val="1A1C1E"/>
          <w:sz w:val="20"/>
          <w:szCs w:val="20"/>
          <w:shd w:val="clear" w:color="auto" w:fill="FFFFFF"/>
        </w:rPr>
      </w:pPr>
      <w:r>
        <w:rPr>
          <w:rStyle w:val="ng-star-inserted1"/>
          <w:rFonts w:ascii="Arial" w:hAnsi="Arial" w:cs="Arial"/>
          <w:b/>
          <w:bCs/>
          <w:sz w:val="20"/>
          <w:szCs w:val="20"/>
        </w:rPr>
        <w:t>Supplementary Figure 3</w:t>
      </w:r>
      <w:r>
        <w:rPr>
          <w:rStyle w:val="ng-star-inserted"/>
          <w:rFonts w:ascii="Arial" w:hAnsi="Arial" w:cs="Arial"/>
          <w:b/>
          <w:bCs/>
          <w:color w:val="1A1C1E"/>
          <w:sz w:val="20"/>
          <w:szCs w:val="20"/>
          <w:shd w:val="clear" w:color="auto" w:fill="FFFFFF"/>
        </w:rPr>
        <w:t>:</w:t>
      </w:r>
      <w:r>
        <w:rPr>
          <w:rStyle w:val="ng-star-inserted"/>
          <w:rFonts w:ascii="Arial" w:hAnsi="Arial" w:cs="Arial"/>
          <w:color w:val="1A1C1E"/>
          <w:sz w:val="20"/>
          <w:szCs w:val="20"/>
          <w:shd w:val="clear" w:color="auto" w:fill="FFFFFF"/>
        </w:rPr>
        <w:t> </w:t>
      </w:r>
      <w:r>
        <w:rPr>
          <w:rStyle w:val="ng-star-inserted"/>
          <w:rFonts w:ascii="Arial Bold Italic" w:hAnsi="Arial Bold Italic" w:cs="Arial Bold Italic"/>
          <w:b/>
          <w:bCs/>
          <w:i/>
          <w:iCs/>
          <w:color w:val="1A1C1E"/>
          <w:sz w:val="20"/>
          <w:szCs w:val="20"/>
          <w:shd w:val="clear" w:color="auto" w:fill="FFFFFF"/>
        </w:rPr>
        <w:t>Ascomycota</w:t>
      </w:r>
      <w:r>
        <w:rPr>
          <w:rStyle w:val="ng-star-inserted"/>
          <w:rFonts w:ascii="Arial" w:hAnsi="Arial" w:cs="Arial" w:hint="eastAsia"/>
          <w:b/>
          <w:bCs/>
          <w:color w:val="1A1C1E"/>
          <w:sz w:val="20"/>
          <w:szCs w:val="20"/>
          <w:shd w:val="clear" w:color="auto" w:fill="FFFFFF"/>
        </w:rPr>
        <w:t> and </w:t>
      </w:r>
      <w:r>
        <w:rPr>
          <w:rStyle w:val="ng-star-inserted"/>
          <w:rFonts w:ascii="Arial Bold Italic" w:hAnsi="Arial Bold Italic" w:cs="Arial Bold Italic"/>
          <w:b/>
          <w:bCs/>
          <w:i/>
          <w:iCs/>
          <w:color w:val="1A1C1E"/>
          <w:sz w:val="20"/>
          <w:szCs w:val="20"/>
          <w:shd w:val="clear" w:color="auto" w:fill="FFFFFF"/>
        </w:rPr>
        <w:t>Basidiomycota</w:t>
      </w:r>
      <w:r>
        <w:rPr>
          <w:rStyle w:val="ng-star-inserted"/>
          <w:rFonts w:ascii="Arial" w:hAnsi="Arial" w:cs="Arial" w:hint="eastAsia"/>
          <w:b/>
          <w:bCs/>
          <w:color w:val="1A1C1E"/>
          <w:sz w:val="20"/>
          <w:szCs w:val="20"/>
          <w:shd w:val="clear" w:color="auto" w:fill="FFFFFF"/>
        </w:rPr>
        <w:t> are the predominant fungal phyla in the scalp follicular mycobiome</w:t>
      </w:r>
    </w:p>
    <w:p w14:paraId="61E488E5" w14:textId="77777777" w:rsidR="0062521E" w:rsidRDefault="00F417E0">
      <w:pPr>
        <w:rPr>
          <w:rFonts w:ascii="Arial Regular" w:hAnsi="Arial Regular" w:cs="Arial Regular"/>
          <w:sz w:val="20"/>
          <w:szCs w:val="20"/>
        </w:rPr>
      </w:pPr>
      <w:r>
        <w:rPr>
          <w:rStyle w:val="ng-star-inserted"/>
          <w:rFonts w:ascii="Arial Regular" w:eastAsia="sans-serif" w:hAnsi="Arial Regular" w:cs="Arial Regular"/>
          <w:kern w:val="0"/>
          <w:sz w:val="20"/>
          <w:szCs w:val="20"/>
          <w:shd w:val="clear" w:color="auto" w:fill="FFFFFF"/>
          <w:lang w:bidi="ar"/>
        </w:rPr>
        <w:t>Taxonomic profiling of the fungal community is shown at the phylum (a), class (b), order (c), family (d), and genus (e) levels. Key identified genera include </w:t>
      </w:r>
      <w:r>
        <w:rPr>
          <w:rStyle w:val="ng-star-inserted"/>
          <w:rFonts w:ascii="Arial Regular" w:eastAsia="sans-serif" w:hAnsi="Arial Regular" w:cs="Arial Regular"/>
          <w:iCs/>
          <w:kern w:val="0"/>
          <w:sz w:val="20"/>
          <w:szCs w:val="20"/>
          <w:shd w:val="clear" w:color="auto" w:fill="FFFFFF"/>
          <w:lang w:bidi="ar"/>
        </w:rPr>
        <w:t>Candida</w:t>
      </w:r>
      <w:r>
        <w:rPr>
          <w:rStyle w:val="ng-star-inserted"/>
          <w:rFonts w:ascii="Arial Regular" w:eastAsia="sans-serif" w:hAnsi="Arial Regular" w:cs="Arial Regular"/>
          <w:kern w:val="0"/>
          <w:sz w:val="20"/>
          <w:szCs w:val="20"/>
          <w:shd w:val="clear" w:color="auto" w:fill="FFFFFF"/>
          <w:lang w:bidi="ar"/>
        </w:rPr>
        <w:t>, </w:t>
      </w:r>
      <w:r>
        <w:rPr>
          <w:rStyle w:val="ng-star-inserted"/>
          <w:rFonts w:ascii="Arial Regular" w:eastAsia="sans-serif" w:hAnsi="Arial Regular" w:cs="Arial Regular"/>
          <w:iCs/>
          <w:kern w:val="0"/>
          <w:sz w:val="20"/>
          <w:szCs w:val="20"/>
          <w:shd w:val="clear" w:color="auto" w:fill="FFFFFF"/>
          <w:lang w:bidi="ar"/>
        </w:rPr>
        <w:t>Thermoascus</w:t>
      </w:r>
      <w:r>
        <w:rPr>
          <w:rStyle w:val="ng-star-inserted"/>
          <w:rFonts w:ascii="Arial Regular" w:eastAsia="sans-serif" w:hAnsi="Arial Regular" w:cs="Arial Regular"/>
          <w:kern w:val="0"/>
          <w:sz w:val="20"/>
          <w:szCs w:val="20"/>
          <w:shd w:val="clear" w:color="auto" w:fill="FFFFFF"/>
          <w:lang w:bidi="ar"/>
        </w:rPr>
        <w:t>, </w:t>
      </w:r>
      <w:r>
        <w:rPr>
          <w:rStyle w:val="ng-star-inserted"/>
          <w:rFonts w:ascii="Arial Regular" w:eastAsia="sans-serif" w:hAnsi="Arial Regular" w:cs="Arial Regular"/>
          <w:iCs/>
          <w:kern w:val="0"/>
          <w:sz w:val="20"/>
          <w:szCs w:val="20"/>
          <w:shd w:val="clear" w:color="auto" w:fill="FFFFFF"/>
          <w:lang w:bidi="ar"/>
        </w:rPr>
        <w:t>Aspergillus</w:t>
      </w:r>
      <w:r>
        <w:rPr>
          <w:rStyle w:val="ng-star-inserted"/>
          <w:rFonts w:ascii="Arial Regular" w:eastAsia="sans-serif" w:hAnsi="Arial Regular" w:cs="Arial Regular"/>
          <w:kern w:val="0"/>
          <w:sz w:val="20"/>
          <w:szCs w:val="20"/>
          <w:shd w:val="clear" w:color="auto" w:fill="FFFFFF"/>
          <w:lang w:bidi="ar"/>
        </w:rPr>
        <w:t>, </w:t>
      </w:r>
      <w:r>
        <w:rPr>
          <w:rStyle w:val="ng-star-inserted"/>
          <w:rFonts w:ascii="Arial Regular" w:eastAsia="sans-serif" w:hAnsi="Arial Regular" w:cs="Arial Regular"/>
          <w:iCs/>
          <w:kern w:val="0"/>
          <w:sz w:val="20"/>
          <w:szCs w:val="20"/>
          <w:shd w:val="clear" w:color="auto" w:fill="FFFFFF"/>
          <w:lang w:bidi="ar"/>
        </w:rPr>
        <w:t>Thermomyces</w:t>
      </w:r>
      <w:r>
        <w:rPr>
          <w:rStyle w:val="ng-star-inserted"/>
          <w:rFonts w:ascii="Arial Regular" w:eastAsia="sans-serif" w:hAnsi="Arial Regular" w:cs="Arial Regular"/>
          <w:kern w:val="0"/>
          <w:sz w:val="20"/>
          <w:szCs w:val="20"/>
          <w:shd w:val="clear" w:color="auto" w:fill="FFFFFF"/>
          <w:lang w:bidi="ar"/>
        </w:rPr>
        <w:t>, </w:t>
      </w:r>
      <w:r>
        <w:rPr>
          <w:rStyle w:val="ng-star-inserted"/>
          <w:rFonts w:ascii="Arial Regular" w:eastAsia="sans-serif" w:hAnsi="Arial Regular" w:cs="Arial Regular"/>
          <w:iCs/>
          <w:kern w:val="0"/>
          <w:sz w:val="20"/>
          <w:szCs w:val="20"/>
          <w:shd w:val="clear" w:color="auto" w:fill="FFFFFF"/>
          <w:lang w:bidi="ar"/>
        </w:rPr>
        <w:t>Saccharomycopsis</w:t>
      </w:r>
      <w:r>
        <w:rPr>
          <w:rStyle w:val="ng-star-inserted"/>
          <w:rFonts w:ascii="Arial Regular" w:eastAsia="sans-serif" w:hAnsi="Arial Regular" w:cs="Arial Regular"/>
          <w:kern w:val="0"/>
          <w:sz w:val="20"/>
          <w:szCs w:val="20"/>
          <w:shd w:val="clear" w:color="auto" w:fill="FFFFFF"/>
          <w:lang w:bidi="ar"/>
        </w:rPr>
        <w:t>, </w:t>
      </w:r>
      <w:r>
        <w:rPr>
          <w:rStyle w:val="ng-star-inserted"/>
          <w:rFonts w:ascii="Arial Regular" w:eastAsia="sans-serif" w:hAnsi="Arial Regular" w:cs="Arial Regular"/>
          <w:iCs/>
          <w:kern w:val="0"/>
          <w:sz w:val="20"/>
          <w:szCs w:val="20"/>
          <w:shd w:val="clear" w:color="auto" w:fill="FFFFFF"/>
          <w:lang w:bidi="ar"/>
        </w:rPr>
        <w:t>Rhizopus</w:t>
      </w:r>
      <w:r>
        <w:rPr>
          <w:rStyle w:val="ng-star-inserted"/>
          <w:rFonts w:ascii="Arial Regular" w:eastAsia="sans-serif" w:hAnsi="Arial Regular" w:cs="Arial Regular"/>
          <w:kern w:val="0"/>
          <w:sz w:val="20"/>
          <w:szCs w:val="20"/>
          <w:shd w:val="clear" w:color="auto" w:fill="FFFFFF"/>
          <w:lang w:bidi="ar"/>
        </w:rPr>
        <w:t>, and </w:t>
      </w:r>
      <w:r>
        <w:rPr>
          <w:rStyle w:val="ng-star-inserted"/>
          <w:rFonts w:ascii="Arial Regular" w:eastAsia="sans-serif" w:hAnsi="Arial Regular" w:cs="Arial Regular"/>
          <w:iCs/>
          <w:kern w:val="0"/>
          <w:sz w:val="20"/>
          <w:szCs w:val="20"/>
          <w:shd w:val="clear" w:color="auto" w:fill="FFFFFF"/>
          <w:lang w:bidi="ar"/>
        </w:rPr>
        <w:t>Malassezia</w:t>
      </w:r>
      <w:r>
        <w:rPr>
          <w:rStyle w:val="ng-star-inserted"/>
          <w:rFonts w:ascii="Arial Regular" w:eastAsia="sans-serif" w:hAnsi="Arial Regular" w:cs="Arial Regular"/>
          <w:kern w:val="0"/>
          <w:sz w:val="20"/>
          <w:szCs w:val="20"/>
          <w:shd w:val="clear" w:color="auto" w:fill="FFFFFF"/>
          <w:lang w:bidi="ar"/>
        </w:rPr>
        <w:t>.</w:t>
      </w:r>
    </w:p>
    <w:p w14:paraId="61E488E6" w14:textId="77777777" w:rsidR="0062521E" w:rsidRDefault="00F417E0">
      <w:pPr>
        <w:rPr>
          <w:rFonts w:ascii="Arial" w:hAnsi="Arial" w:cs="Arial"/>
          <w:sz w:val="20"/>
          <w:szCs w:val="20"/>
        </w:rPr>
      </w:pPr>
      <w:r>
        <w:rPr>
          <w:rStyle w:val="ng-star-inserted1"/>
          <w:rFonts w:ascii="Arial" w:hAnsi="Arial" w:cs="Arial"/>
          <w:b/>
          <w:bCs/>
          <w:sz w:val="20"/>
          <w:szCs w:val="20"/>
        </w:rPr>
        <w:t>Abbreviations:</w:t>
      </w:r>
      <w:r>
        <w:rPr>
          <w:rStyle w:val="ng-star-inserted1"/>
          <w:rFonts w:ascii="Arial" w:hAnsi="Arial" w:cs="Arial"/>
          <w:sz w:val="20"/>
          <w:szCs w:val="20"/>
        </w:rPr>
        <w:t xml:space="preserve"> OA, occipital alopecia; OC, occipital control; TA, top alopecia; TC, top control.</w:t>
      </w:r>
    </w:p>
    <w:p w14:paraId="61E488E7" w14:textId="77777777" w:rsidR="0062521E" w:rsidRDefault="0062521E">
      <w:pPr>
        <w:rPr>
          <w:rStyle w:val="ng-star-inserted1"/>
          <w:rFonts w:ascii="Arial" w:hAnsi="Arial" w:cs="Arial"/>
          <w:b/>
          <w:bCs/>
          <w:sz w:val="20"/>
          <w:szCs w:val="20"/>
        </w:rPr>
      </w:pPr>
    </w:p>
    <w:p w14:paraId="61E488E8" w14:textId="77777777" w:rsidR="0062521E" w:rsidRDefault="00F417E0">
      <w:pPr>
        <w:rPr>
          <w:rStyle w:val="ng-star-inserted"/>
          <w:rFonts w:ascii="Arial" w:hAnsi="Arial" w:cs="Arial"/>
          <w:color w:val="1A1C1E"/>
          <w:sz w:val="20"/>
          <w:szCs w:val="20"/>
          <w:shd w:val="clear" w:color="auto" w:fill="FFFFFF"/>
        </w:rPr>
      </w:pPr>
      <w:r>
        <w:rPr>
          <w:rFonts w:ascii="Arial" w:hAnsi="Arial" w:cs="Arial"/>
          <w:b/>
          <w:bCs/>
          <w:sz w:val="20"/>
          <w:szCs w:val="20"/>
        </w:rPr>
        <w:t>Supplementary Figure 4</w:t>
      </w:r>
      <w:r>
        <w:rPr>
          <w:rFonts w:ascii="Arial" w:hAnsi="Arial" w:cs="Arial" w:hint="eastAsia"/>
          <w:b/>
          <w:bCs/>
          <w:sz w:val="20"/>
          <w:szCs w:val="20"/>
        </w:rPr>
        <w:t xml:space="preserve">: </w:t>
      </w:r>
      <w:r>
        <w:rPr>
          <w:rStyle w:val="ng-star-inserted"/>
          <w:rFonts w:ascii="Arial" w:hAnsi="Arial" w:cs="Arial" w:hint="eastAsia"/>
          <w:b/>
          <w:bCs/>
          <w:color w:val="1A1C1E"/>
          <w:sz w:val="20"/>
          <w:szCs w:val="20"/>
          <w:shd w:val="clear" w:color="auto" w:fill="FFFFFF"/>
        </w:rPr>
        <w:t>Age-specific bacterial biomarkers distinguish younger and older AGA patients from healthy controls</w:t>
      </w:r>
    </w:p>
    <w:p w14:paraId="61E488E9" w14:textId="77777777" w:rsidR="0062521E" w:rsidRDefault="00F417E0">
      <w:pPr>
        <w:widowControl/>
        <w:jc w:val="left"/>
        <w:rPr>
          <w:rStyle w:val="ng-star-inserted"/>
          <w:rFonts w:ascii="Arial" w:hAnsi="Arial" w:cs="Arial"/>
          <w:color w:val="1A1C1E"/>
          <w:sz w:val="20"/>
          <w:szCs w:val="20"/>
          <w:shd w:val="clear" w:color="auto" w:fill="FFFFFF"/>
        </w:rPr>
      </w:pPr>
      <w:r>
        <w:rPr>
          <w:rStyle w:val="ng-star-inserted"/>
          <w:rFonts w:ascii="Arial Regular" w:eastAsia="sans-serif" w:hAnsi="Arial Regular" w:cs="Arial Regular"/>
          <w:kern w:val="0"/>
          <w:sz w:val="20"/>
          <w:szCs w:val="20"/>
          <w:shd w:val="clear" w:color="auto" w:fill="FFFFFF"/>
          <w:lang w:bidi="ar"/>
        </w:rPr>
        <w:t xml:space="preserve">LEfSe analysis (LDA score &gt; 2.0) identifies differentially abundant bacterial taxa across age groups. Notable enrichments include the order </w:t>
      </w:r>
      <w:r>
        <w:rPr>
          <w:rStyle w:val="ng-star-inserted"/>
          <w:rFonts w:ascii="Arial Italic" w:eastAsia="sans-serif" w:hAnsi="Arial Italic" w:cs="Arial Italic"/>
          <w:i/>
          <w:iCs/>
          <w:kern w:val="0"/>
          <w:sz w:val="20"/>
          <w:szCs w:val="20"/>
          <w:shd w:val="clear" w:color="auto" w:fill="FFFFFF"/>
          <w:lang w:bidi="ar"/>
        </w:rPr>
        <w:t>Sphingomonadales</w:t>
      </w:r>
      <w:r>
        <w:rPr>
          <w:rStyle w:val="ng-star-inserted"/>
          <w:rFonts w:ascii="Arial Regular" w:eastAsia="sans-serif" w:hAnsi="Arial Regular" w:cs="Arial Regular"/>
          <w:kern w:val="0"/>
          <w:sz w:val="20"/>
          <w:szCs w:val="20"/>
          <w:shd w:val="clear" w:color="auto" w:fill="FFFFFF"/>
          <w:lang w:bidi="ar"/>
        </w:rPr>
        <w:t xml:space="preserve"> and genus </w:t>
      </w:r>
      <w:r>
        <w:rPr>
          <w:rStyle w:val="ng-star-inserted"/>
          <w:rFonts w:ascii="Arial Italic" w:eastAsia="sans-serif" w:hAnsi="Arial Italic" w:cs="Arial Italic"/>
          <w:i/>
          <w:kern w:val="0"/>
          <w:sz w:val="20"/>
          <w:szCs w:val="20"/>
          <w:shd w:val="clear" w:color="auto" w:fill="FFFFFF"/>
          <w:lang w:bidi="ar"/>
        </w:rPr>
        <w:t>Sphingomonas </w:t>
      </w:r>
      <w:r>
        <w:rPr>
          <w:rStyle w:val="ng-star-inserted"/>
          <w:rFonts w:ascii="Arial Regular" w:eastAsia="sans-serif" w:hAnsi="Arial Regular" w:cs="Arial Regular"/>
          <w:kern w:val="0"/>
          <w:sz w:val="20"/>
          <w:szCs w:val="20"/>
          <w:shd w:val="clear" w:color="auto" w:fill="FFFFFF"/>
          <w:lang w:bidi="ar"/>
        </w:rPr>
        <w:t>in younger AGA patients (A20, red); the family Caulobacteraceae in older AGA patients (A40, green); and the order Rhizobiales in middle-aged controls (C30, blue).</w:t>
      </w:r>
    </w:p>
    <w:p w14:paraId="61E488EA" w14:textId="77777777" w:rsidR="0062521E" w:rsidRDefault="00F417E0">
      <w:pPr>
        <w:rPr>
          <w:rFonts w:ascii="Arial" w:hAnsi="Arial" w:cs="Arial"/>
          <w:sz w:val="20"/>
          <w:szCs w:val="20"/>
        </w:rPr>
      </w:pPr>
      <w:r>
        <w:rPr>
          <w:rStyle w:val="ng-star-inserted1"/>
          <w:rFonts w:ascii="Arial" w:hAnsi="Arial" w:cs="Arial"/>
          <w:b/>
          <w:bCs/>
          <w:sz w:val="20"/>
          <w:szCs w:val="20"/>
        </w:rPr>
        <w:t>Abbreviations:</w:t>
      </w:r>
      <w:r>
        <w:rPr>
          <w:rStyle w:val="ng-star-inserted1"/>
          <w:rFonts w:ascii="Arial" w:hAnsi="Arial" w:cs="Arial" w:hint="eastAsia"/>
          <w:b/>
          <w:bCs/>
          <w:sz w:val="20"/>
          <w:szCs w:val="20"/>
        </w:rPr>
        <w:t xml:space="preserve"> </w:t>
      </w:r>
      <w:r>
        <w:rPr>
          <w:rStyle w:val="ng-star-inserted1"/>
          <w:rFonts w:ascii="Arial" w:hAnsi="Arial" w:cs="Arial"/>
          <w:sz w:val="20"/>
          <w:szCs w:val="20"/>
        </w:rPr>
        <w:t>A20</w:t>
      </w:r>
      <w:r>
        <w:rPr>
          <w:rStyle w:val="ng-star-inserted1"/>
          <w:rFonts w:ascii="Arial" w:hAnsi="Arial" w:cs="Arial" w:hint="eastAsia"/>
          <w:sz w:val="20"/>
          <w:szCs w:val="20"/>
        </w:rPr>
        <w:t>,</w:t>
      </w:r>
      <w:r>
        <w:rPr>
          <w:rStyle w:val="ng-star-inserted1"/>
          <w:rFonts w:ascii="Arial" w:hAnsi="Arial" w:cs="Arial"/>
          <w:sz w:val="20"/>
          <w:szCs w:val="20"/>
        </w:rPr>
        <w:t xml:space="preserve"> AGA patients aged 18–29 years</w:t>
      </w:r>
      <w:r>
        <w:rPr>
          <w:rStyle w:val="ng-star-inserted1"/>
          <w:rFonts w:ascii="Arial" w:hAnsi="Arial" w:cs="Arial" w:hint="eastAsia"/>
          <w:sz w:val="20"/>
          <w:szCs w:val="20"/>
        </w:rPr>
        <w:t xml:space="preserve">; </w:t>
      </w:r>
      <w:r>
        <w:rPr>
          <w:rStyle w:val="ng-star-inserted1"/>
          <w:rFonts w:ascii="Arial" w:hAnsi="Arial" w:cs="Arial"/>
          <w:sz w:val="20"/>
          <w:szCs w:val="20"/>
        </w:rPr>
        <w:t>A40</w:t>
      </w:r>
      <w:r>
        <w:rPr>
          <w:rStyle w:val="ng-star-inserted1"/>
          <w:rFonts w:ascii="Arial" w:hAnsi="Arial" w:cs="Arial" w:hint="eastAsia"/>
          <w:sz w:val="20"/>
          <w:szCs w:val="20"/>
        </w:rPr>
        <w:t>,</w:t>
      </w:r>
      <w:r>
        <w:rPr>
          <w:rStyle w:val="ng-star-inserted1"/>
          <w:rFonts w:ascii="Arial" w:hAnsi="Arial" w:cs="Arial"/>
          <w:sz w:val="20"/>
          <w:szCs w:val="20"/>
        </w:rPr>
        <w:t xml:space="preserve"> AGA patients aged ≥40 years</w:t>
      </w:r>
      <w:r>
        <w:rPr>
          <w:rStyle w:val="ng-star-inserted1"/>
          <w:rFonts w:ascii="Arial" w:hAnsi="Arial" w:cs="Arial" w:hint="eastAsia"/>
          <w:sz w:val="20"/>
          <w:szCs w:val="20"/>
        </w:rPr>
        <w:t xml:space="preserve">; </w:t>
      </w:r>
      <w:r>
        <w:rPr>
          <w:rStyle w:val="ng-star-inserted1"/>
          <w:rFonts w:ascii="Arial" w:hAnsi="Arial" w:cs="Arial"/>
          <w:sz w:val="20"/>
          <w:szCs w:val="20"/>
        </w:rPr>
        <w:t>C30</w:t>
      </w:r>
      <w:r>
        <w:rPr>
          <w:rStyle w:val="ng-star-inserted1"/>
          <w:rFonts w:ascii="Arial" w:hAnsi="Arial" w:cs="Arial" w:hint="eastAsia"/>
          <w:sz w:val="20"/>
          <w:szCs w:val="20"/>
        </w:rPr>
        <w:t>,</w:t>
      </w:r>
      <w:r>
        <w:rPr>
          <w:rStyle w:val="ng-star-inserted1"/>
          <w:rFonts w:ascii="Arial" w:hAnsi="Arial" w:cs="Arial"/>
          <w:sz w:val="20"/>
          <w:szCs w:val="20"/>
        </w:rPr>
        <w:t xml:space="preserve"> Healthy controls aged 30–39 years</w:t>
      </w:r>
      <w:r>
        <w:rPr>
          <w:rStyle w:val="ng-star-inserted1"/>
          <w:rFonts w:ascii="Arial" w:hAnsi="Arial" w:cs="Arial" w:hint="eastAsia"/>
          <w:sz w:val="20"/>
          <w:szCs w:val="20"/>
        </w:rPr>
        <w:t xml:space="preserve">; </w:t>
      </w:r>
      <w:r>
        <w:rPr>
          <w:rStyle w:val="ng-star-inserted1"/>
          <w:rFonts w:ascii="Arial" w:hAnsi="Arial" w:cs="Arial"/>
          <w:sz w:val="20"/>
          <w:szCs w:val="20"/>
        </w:rPr>
        <w:t>LDA</w:t>
      </w:r>
      <w:r>
        <w:rPr>
          <w:rStyle w:val="ng-star-inserted1"/>
          <w:rFonts w:ascii="Arial" w:hAnsi="Arial" w:cs="Arial" w:hint="eastAsia"/>
          <w:sz w:val="20"/>
          <w:szCs w:val="20"/>
        </w:rPr>
        <w:t>,</w:t>
      </w:r>
      <w:r>
        <w:rPr>
          <w:rStyle w:val="ng-star-inserted1"/>
          <w:rFonts w:ascii="Arial" w:hAnsi="Arial" w:cs="Arial"/>
          <w:sz w:val="20"/>
          <w:szCs w:val="20"/>
        </w:rPr>
        <w:t xml:space="preserve"> Linear Discriminant Analysis</w:t>
      </w:r>
      <w:r>
        <w:rPr>
          <w:rStyle w:val="ng-star-inserted1"/>
          <w:rFonts w:ascii="Arial" w:hAnsi="Arial" w:cs="Arial" w:hint="eastAsia"/>
          <w:sz w:val="20"/>
          <w:szCs w:val="20"/>
        </w:rPr>
        <w:t xml:space="preserve">; </w:t>
      </w:r>
      <w:r>
        <w:rPr>
          <w:rStyle w:val="ng-star-inserted1"/>
          <w:rFonts w:ascii="Arial" w:hAnsi="Arial" w:cs="Arial"/>
          <w:sz w:val="20"/>
          <w:szCs w:val="20"/>
        </w:rPr>
        <w:t>LEfSe</w:t>
      </w:r>
      <w:r>
        <w:rPr>
          <w:rStyle w:val="ng-star-inserted1"/>
          <w:rFonts w:ascii="Arial" w:hAnsi="Arial" w:cs="Arial" w:hint="eastAsia"/>
          <w:sz w:val="20"/>
          <w:szCs w:val="20"/>
        </w:rPr>
        <w:t>,</w:t>
      </w:r>
      <w:r>
        <w:rPr>
          <w:rStyle w:val="ng-star-inserted1"/>
          <w:rFonts w:ascii="Arial" w:hAnsi="Arial" w:cs="Arial"/>
          <w:sz w:val="20"/>
          <w:szCs w:val="20"/>
        </w:rPr>
        <w:t xml:space="preserve"> Linear Discriminant Analysis Effect Size</w:t>
      </w:r>
    </w:p>
    <w:p w14:paraId="61E488EB" w14:textId="77777777" w:rsidR="0062521E" w:rsidRDefault="0062521E">
      <w:pPr>
        <w:rPr>
          <w:rFonts w:ascii="Arial" w:hAnsi="Arial" w:cs="Arial"/>
          <w:sz w:val="20"/>
          <w:szCs w:val="20"/>
        </w:rPr>
      </w:pPr>
    </w:p>
    <w:p w14:paraId="61E488EC" w14:textId="77777777" w:rsidR="0062521E" w:rsidRDefault="00F417E0">
      <w:pPr>
        <w:rPr>
          <w:rFonts w:ascii="Arial" w:hAnsi="Arial" w:cs="Arial"/>
          <w:sz w:val="20"/>
          <w:szCs w:val="20"/>
        </w:rPr>
      </w:pPr>
      <w:r>
        <w:rPr>
          <w:rStyle w:val="ng-star-inserted"/>
          <w:rFonts w:ascii="Arial" w:hAnsi="Arial" w:cs="Arial"/>
          <w:b/>
          <w:bCs/>
          <w:color w:val="1A1C1E"/>
          <w:sz w:val="20"/>
          <w:szCs w:val="20"/>
          <w:shd w:val="clear" w:color="auto" w:fill="FFFFFF"/>
        </w:rPr>
        <w:t>Supplementary Figure 5</w:t>
      </w:r>
      <w:r>
        <w:rPr>
          <w:rStyle w:val="ng-star-inserted"/>
          <w:rFonts w:ascii="Arial" w:hAnsi="Arial" w:cs="Arial" w:hint="eastAsia"/>
          <w:b/>
          <w:bCs/>
          <w:color w:val="1A1C1E"/>
          <w:sz w:val="20"/>
          <w:szCs w:val="20"/>
          <w:shd w:val="clear" w:color="auto" w:fill="FFFFFF"/>
        </w:rPr>
        <w:t>:</w:t>
      </w:r>
      <w:r>
        <w:rPr>
          <w:rStyle w:val="ng-star-inserted"/>
          <w:rFonts w:ascii="Arial" w:hAnsi="Arial" w:cs="Arial"/>
          <w:b/>
          <w:bCs/>
          <w:color w:val="1A1C1E"/>
          <w:sz w:val="20"/>
          <w:szCs w:val="20"/>
          <w:shd w:val="clear" w:color="auto" w:fill="FFFFFF"/>
        </w:rPr>
        <w:t xml:space="preserve"> </w:t>
      </w:r>
      <w:r>
        <w:rPr>
          <w:rStyle w:val="ng-star-inserted"/>
          <w:rFonts w:ascii="Arial" w:hAnsi="Arial" w:cs="Arial" w:hint="eastAsia"/>
          <w:b/>
          <w:bCs/>
          <w:color w:val="1A1C1E"/>
          <w:sz w:val="20"/>
          <w:szCs w:val="20"/>
          <w:shd w:val="clear" w:color="auto" w:fill="FFFFFF"/>
        </w:rPr>
        <w:t>Phylogenetic distribution of bacterial communities highlights age-dependent structural shifts in AGA</w:t>
      </w:r>
      <w:r>
        <w:rPr>
          <w:rFonts w:ascii="Arial" w:hAnsi="Arial" w:cs="Arial"/>
          <w:color w:val="1A1C1E"/>
          <w:sz w:val="20"/>
          <w:szCs w:val="20"/>
        </w:rPr>
        <w:br/>
      </w:r>
      <w:r>
        <w:rPr>
          <w:rStyle w:val="ng-star-inserted"/>
          <w:rFonts w:ascii="Arial" w:hAnsi="Arial" w:cs="Arial" w:hint="eastAsia"/>
          <w:color w:val="1A1C1E"/>
          <w:sz w:val="20"/>
          <w:szCs w:val="20"/>
          <w:shd w:val="clear" w:color="auto" w:fill="FFFFFF"/>
        </w:rPr>
        <w:t>A cladogram visualizes the phylogenetic relationships of the significant bacterial biomarkers identified in Supplementary Figure 4, illustrating distinct taxonomic divergence driven by age and disease status (Red: A20; Green: A40; Blue: C30).</w:t>
      </w:r>
    </w:p>
    <w:p w14:paraId="61E488ED" w14:textId="77777777" w:rsidR="0062521E" w:rsidRDefault="00F417E0">
      <w:pPr>
        <w:rPr>
          <w:rFonts w:ascii="Arial" w:hAnsi="Arial" w:cs="Arial"/>
          <w:sz w:val="20"/>
          <w:szCs w:val="20"/>
        </w:rPr>
      </w:pPr>
      <w:r>
        <w:rPr>
          <w:rStyle w:val="ng-star-inserted1"/>
          <w:rFonts w:ascii="Arial" w:hAnsi="Arial" w:cs="Arial"/>
          <w:b/>
          <w:bCs/>
          <w:sz w:val="20"/>
          <w:szCs w:val="20"/>
        </w:rPr>
        <w:t>Abbreviations:</w:t>
      </w:r>
      <w:r>
        <w:rPr>
          <w:rStyle w:val="ng-star-inserted1"/>
          <w:rFonts w:ascii="Arial" w:hAnsi="Arial" w:cs="Arial" w:hint="eastAsia"/>
          <w:b/>
          <w:bCs/>
          <w:sz w:val="20"/>
          <w:szCs w:val="20"/>
        </w:rPr>
        <w:t xml:space="preserve"> </w:t>
      </w:r>
      <w:r>
        <w:rPr>
          <w:rStyle w:val="ng-star-inserted1"/>
          <w:rFonts w:ascii="Arial" w:hAnsi="Arial" w:cs="Arial"/>
          <w:sz w:val="20"/>
          <w:szCs w:val="20"/>
        </w:rPr>
        <w:t>A20</w:t>
      </w:r>
      <w:r>
        <w:rPr>
          <w:rStyle w:val="ng-star-inserted1"/>
          <w:rFonts w:ascii="Arial" w:hAnsi="Arial" w:cs="Arial" w:hint="eastAsia"/>
          <w:sz w:val="20"/>
          <w:szCs w:val="20"/>
        </w:rPr>
        <w:t>,</w:t>
      </w:r>
      <w:r>
        <w:rPr>
          <w:rStyle w:val="ng-star-inserted1"/>
          <w:rFonts w:ascii="Arial" w:hAnsi="Arial" w:cs="Arial"/>
          <w:sz w:val="20"/>
          <w:szCs w:val="20"/>
        </w:rPr>
        <w:t xml:space="preserve"> AGA patients aged 18–29 years</w:t>
      </w:r>
      <w:r>
        <w:rPr>
          <w:rStyle w:val="ng-star-inserted1"/>
          <w:rFonts w:ascii="Arial" w:hAnsi="Arial" w:cs="Arial" w:hint="eastAsia"/>
          <w:sz w:val="20"/>
          <w:szCs w:val="20"/>
        </w:rPr>
        <w:t xml:space="preserve">; </w:t>
      </w:r>
      <w:r>
        <w:rPr>
          <w:rStyle w:val="ng-star-inserted1"/>
          <w:rFonts w:ascii="Arial" w:hAnsi="Arial" w:cs="Arial"/>
          <w:sz w:val="20"/>
          <w:szCs w:val="20"/>
        </w:rPr>
        <w:t>A40</w:t>
      </w:r>
      <w:r>
        <w:rPr>
          <w:rStyle w:val="ng-star-inserted1"/>
          <w:rFonts w:ascii="Arial" w:hAnsi="Arial" w:cs="Arial" w:hint="eastAsia"/>
          <w:sz w:val="20"/>
          <w:szCs w:val="20"/>
        </w:rPr>
        <w:t>,</w:t>
      </w:r>
      <w:r>
        <w:rPr>
          <w:rStyle w:val="ng-star-inserted1"/>
          <w:rFonts w:ascii="Arial" w:hAnsi="Arial" w:cs="Arial"/>
          <w:sz w:val="20"/>
          <w:szCs w:val="20"/>
        </w:rPr>
        <w:t xml:space="preserve"> AGA patients aged ≥40 years</w:t>
      </w:r>
      <w:r>
        <w:rPr>
          <w:rStyle w:val="ng-star-inserted1"/>
          <w:rFonts w:ascii="Arial" w:hAnsi="Arial" w:cs="Arial" w:hint="eastAsia"/>
          <w:sz w:val="20"/>
          <w:szCs w:val="20"/>
        </w:rPr>
        <w:t xml:space="preserve">; </w:t>
      </w:r>
      <w:r>
        <w:rPr>
          <w:rStyle w:val="ng-star-inserted1"/>
          <w:rFonts w:ascii="Arial" w:hAnsi="Arial" w:cs="Arial"/>
          <w:sz w:val="20"/>
          <w:szCs w:val="20"/>
        </w:rPr>
        <w:t>C30</w:t>
      </w:r>
      <w:r>
        <w:rPr>
          <w:rStyle w:val="ng-star-inserted1"/>
          <w:rFonts w:ascii="Arial" w:hAnsi="Arial" w:cs="Arial" w:hint="eastAsia"/>
          <w:sz w:val="20"/>
          <w:szCs w:val="20"/>
        </w:rPr>
        <w:t>,</w:t>
      </w:r>
      <w:r>
        <w:rPr>
          <w:rStyle w:val="ng-star-inserted1"/>
          <w:rFonts w:ascii="Arial" w:hAnsi="Arial" w:cs="Arial"/>
          <w:sz w:val="20"/>
          <w:szCs w:val="20"/>
        </w:rPr>
        <w:t xml:space="preserve"> Healthy controls aged 30–39 years</w:t>
      </w:r>
      <w:r>
        <w:rPr>
          <w:rStyle w:val="ng-star-inserted1"/>
          <w:rFonts w:ascii="Arial" w:hAnsi="Arial" w:cs="Arial" w:hint="eastAsia"/>
          <w:sz w:val="20"/>
          <w:szCs w:val="20"/>
        </w:rPr>
        <w:t xml:space="preserve">; </w:t>
      </w:r>
      <w:r>
        <w:rPr>
          <w:rStyle w:val="ng-star-inserted1"/>
          <w:rFonts w:ascii="Arial" w:hAnsi="Arial" w:cs="Arial"/>
          <w:sz w:val="20"/>
          <w:szCs w:val="20"/>
        </w:rPr>
        <w:t>LDA</w:t>
      </w:r>
      <w:r>
        <w:rPr>
          <w:rStyle w:val="ng-star-inserted1"/>
          <w:rFonts w:ascii="Arial" w:hAnsi="Arial" w:cs="Arial" w:hint="eastAsia"/>
          <w:sz w:val="20"/>
          <w:szCs w:val="20"/>
        </w:rPr>
        <w:t>,</w:t>
      </w:r>
      <w:r>
        <w:rPr>
          <w:rStyle w:val="ng-star-inserted1"/>
          <w:rFonts w:ascii="Arial" w:hAnsi="Arial" w:cs="Arial"/>
          <w:sz w:val="20"/>
          <w:szCs w:val="20"/>
        </w:rPr>
        <w:t xml:space="preserve"> Linear Discriminant Analysis</w:t>
      </w:r>
      <w:r>
        <w:rPr>
          <w:rStyle w:val="ng-star-inserted1"/>
          <w:rFonts w:ascii="Arial" w:hAnsi="Arial" w:cs="Arial" w:hint="eastAsia"/>
          <w:sz w:val="20"/>
          <w:szCs w:val="20"/>
        </w:rPr>
        <w:t xml:space="preserve">; </w:t>
      </w:r>
      <w:r>
        <w:rPr>
          <w:rStyle w:val="ng-star-inserted1"/>
          <w:rFonts w:ascii="Arial" w:hAnsi="Arial" w:cs="Arial"/>
          <w:sz w:val="20"/>
          <w:szCs w:val="20"/>
        </w:rPr>
        <w:t>LEfSe</w:t>
      </w:r>
      <w:r>
        <w:rPr>
          <w:rStyle w:val="ng-star-inserted1"/>
          <w:rFonts w:ascii="Arial" w:hAnsi="Arial" w:cs="Arial" w:hint="eastAsia"/>
          <w:sz w:val="20"/>
          <w:szCs w:val="20"/>
        </w:rPr>
        <w:t>,</w:t>
      </w:r>
      <w:r>
        <w:rPr>
          <w:rStyle w:val="ng-star-inserted1"/>
          <w:rFonts w:ascii="Arial" w:hAnsi="Arial" w:cs="Arial"/>
          <w:sz w:val="20"/>
          <w:szCs w:val="20"/>
        </w:rPr>
        <w:t xml:space="preserve"> Linear Discriminant Analysis Effect Size</w:t>
      </w:r>
    </w:p>
    <w:p w14:paraId="61E488EE" w14:textId="77777777" w:rsidR="0062521E" w:rsidRDefault="0062521E">
      <w:pPr>
        <w:rPr>
          <w:rFonts w:ascii="Arial" w:hAnsi="Arial" w:cs="Arial"/>
          <w:sz w:val="20"/>
          <w:szCs w:val="20"/>
        </w:rPr>
      </w:pPr>
    </w:p>
    <w:p w14:paraId="61E488EF" w14:textId="77777777" w:rsidR="0062521E" w:rsidRDefault="00F417E0">
      <w:pPr>
        <w:rPr>
          <w:rStyle w:val="ng-star-inserted"/>
          <w:rFonts w:ascii="Arial" w:hAnsi="Arial" w:cs="Arial"/>
          <w:color w:val="1A1C1E"/>
          <w:sz w:val="20"/>
          <w:szCs w:val="20"/>
          <w:shd w:val="clear" w:color="auto" w:fill="FFFFFF"/>
        </w:rPr>
      </w:pPr>
      <w:r>
        <w:rPr>
          <w:rFonts w:ascii="Arial" w:hAnsi="Arial" w:cs="Arial"/>
          <w:b/>
          <w:bCs/>
          <w:sz w:val="20"/>
          <w:szCs w:val="20"/>
        </w:rPr>
        <w:lastRenderedPageBreak/>
        <w:t>Supplementary Figure 6</w:t>
      </w:r>
      <w:r>
        <w:rPr>
          <w:rFonts w:ascii="Arial" w:hAnsi="Arial" w:cs="Arial" w:hint="eastAsia"/>
          <w:b/>
          <w:bCs/>
          <w:sz w:val="20"/>
          <w:szCs w:val="20"/>
        </w:rPr>
        <w:t>:</w:t>
      </w:r>
      <w:r>
        <w:rPr>
          <w:rStyle w:val="Heading1Char"/>
          <w:rFonts w:ascii="Arial" w:hAnsi="Arial" w:cs="Arial"/>
          <w:b/>
          <w:bCs/>
          <w:color w:val="1A1C1E"/>
          <w:sz w:val="20"/>
          <w:szCs w:val="20"/>
          <w:shd w:val="clear" w:color="auto" w:fill="FFFFFF"/>
        </w:rPr>
        <w:t xml:space="preserve"> </w:t>
      </w:r>
      <w:r>
        <w:rPr>
          <w:rStyle w:val="ng-star-inserted"/>
          <w:rFonts w:ascii="Arial" w:hAnsi="Arial" w:cs="Arial"/>
          <w:b/>
          <w:bCs/>
          <w:color w:val="1A1C1E"/>
          <w:sz w:val="20"/>
          <w:szCs w:val="20"/>
          <w:shd w:val="clear" w:color="auto" w:fill="FFFFFF"/>
        </w:rPr>
        <w:t> </w:t>
      </w:r>
      <w:r>
        <w:rPr>
          <w:rStyle w:val="ng-star-inserted"/>
          <w:rFonts w:ascii="Arial" w:hAnsi="Arial" w:cs="Arial" w:hint="eastAsia"/>
          <w:b/>
          <w:bCs/>
          <w:color w:val="1A1C1E"/>
          <w:sz w:val="20"/>
          <w:szCs w:val="20"/>
          <w:shd w:val="clear" w:color="auto" w:fill="FFFFFF"/>
        </w:rPr>
        <w:t>Fungal biomarker analysis reveals sequential, age-associated microbial shifts in AGA patients</w:t>
      </w:r>
    </w:p>
    <w:p w14:paraId="61E488F0" w14:textId="77777777" w:rsidR="0062521E" w:rsidRDefault="00F417E0">
      <w:pPr>
        <w:rPr>
          <w:rStyle w:val="ng-star-inserted"/>
          <w:rFonts w:ascii="Arial" w:hAnsi="Arial" w:cs="Arial"/>
          <w:color w:val="1A1C1E"/>
          <w:sz w:val="20"/>
          <w:szCs w:val="20"/>
          <w:shd w:val="clear" w:color="auto" w:fill="FFFFFF"/>
        </w:rPr>
      </w:pPr>
      <w:r>
        <w:rPr>
          <w:rStyle w:val="ng-star-inserted"/>
          <w:rFonts w:ascii="Arial" w:hAnsi="Arial" w:cs="Arial" w:hint="eastAsia"/>
          <w:color w:val="1A1C1E"/>
          <w:sz w:val="20"/>
          <w:szCs w:val="20"/>
          <w:shd w:val="clear" w:color="auto" w:fill="FFFFFF"/>
        </w:rPr>
        <w:t xml:space="preserve">LEfSe analysis (LDA score &gt; 2.0) identifies differentially abundant fungal taxa across age groups. The order Agaricales is significantly enriched in the youngest AGA cohort (A20), transitioning to the class Dothideomycetes in the middle-aged cohort (A30), and the class Mucoromycetes (including </w:t>
      </w:r>
      <w:r>
        <w:rPr>
          <w:rStyle w:val="ng-star-inserted"/>
          <w:rFonts w:ascii="Arial Italic" w:hAnsi="Arial Italic" w:cs="Arial Italic"/>
          <w:i/>
          <w:iCs/>
          <w:color w:val="1A1C1E"/>
          <w:sz w:val="20"/>
          <w:szCs w:val="20"/>
          <w:shd w:val="clear" w:color="auto" w:fill="FFFFFF"/>
        </w:rPr>
        <w:t>Rhizopus</w:t>
      </w:r>
      <w:r>
        <w:rPr>
          <w:rStyle w:val="ng-star-inserted"/>
          <w:rFonts w:ascii="Arial" w:hAnsi="Arial" w:cs="Arial" w:hint="eastAsia"/>
          <w:color w:val="1A1C1E"/>
          <w:sz w:val="20"/>
          <w:szCs w:val="20"/>
          <w:shd w:val="clear" w:color="auto" w:fill="FFFFFF"/>
        </w:rPr>
        <w:t>) in the oldest cohort (A40).</w:t>
      </w:r>
    </w:p>
    <w:p w14:paraId="61E488F1" w14:textId="77777777" w:rsidR="0062521E" w:rsidRDefault="00F417E0">
      <w:pPr>
        <w:rPr>
          <w:rFonts w:ascii="Arial" w:hAnsi="Arial" w:cs="Arial"/>
          <w:sz w:val="20"/>
          <w:szCs w:val="20"/>
        </w:rPr>
      </w:pPr>
      <w:r>
        <w:rPr>
          <w:rStyle w:val="ng-star-inserted1"/>
          <w:rFonts w:ascii="Arial" w:hAnsi="Arial" w:cs="Arial"/>
          <w:b/>
          <w:bCs/>
          <w:sz w:val="20"/>
          <w:szCs w:val="20"/>
        </w:rPr>
        <w:t>Abbreviations:</w:t>
      </w:r>
      <w:r>
        <w:rPr>
          <w:rStyle w:val="ng-star-inserted1"/>
          <w:rFonts w:ascii="Arial" w:hAnsi="Arial" w:cs="Arial" w:hint="eastAsia"/>
          <w:b/>
          <w:bCs/>
          <w:sz w:val="20"/>
          <w:szCs w:val="20"/>
        </w:rPr>
        <w:t xml:space="preserve"> </w:t>
      </w:r>
      <w:r>
        <w:rPr>
          <w:rStyle w:val="ng-star-inserted1"/>
          <w:rFonts w:ascii="Arial" w:hAnsi="Arial" w:cs="Arial"/>
          <w:sz w:val="20"/>
          <w:szCs w:val="20"/>
        </w:rPr>
        <w:t>A20</w:t>
      </w:r>
      <w:r>
        <w:rPr>
          <w:rStyle w:val="ng-star-inserted1"/>
          <w:rFonts w:ascii="Arial" w:hAnsi="Arial" w:cs="Arial" w:hint="eastAsia"/>
          <w:sz w:val="20"/>
          <w:szCs w:val="20"/>
        </w:rPr>
        <w:t>,</w:t>
      </w:r>
      <w:r>
        <w:rPr>
          <w:rStyle w:val="ng-star-inserted1"/>
          <w:rFonts w:ascii="Arial" w:hAnsi="Arial" w:cs="Arial"/>
          <w:sz w:val="20"/>
          <w:szCs w:val="20"/>
        </w:rPr>
        <w:t xml:space="preserve"> AGA patients aged 18–29 years</w:t>
      </w:r>
      <w:r>
        <w:rPr>
          <w:rStyle w:val="ng-star-inserted1"/>
          <w:rFonts w:ascii="Arial" w:hAnsi="Arial" w:cs="Arial" w:hint="eastAsia"/>
          <w:sz w:val="20"/>
          <w:szCs w:val="20"/>
        </w:rPr>
        <w:t xml:space="preserve">; </w:t>
      </w:r>
      <w:r>
        <w:rPr>
          <w:rStyle w:val="ng-star-inserted1"/>
          <w:rFonts w:ascii="Arial" w:hAnsi="Arial" w:cs="Arial"/>
          <w:sz w:val="20"/>
          <w:szCs w:val="20"/>
        </w:rPr>
        <w:t>A40</w:t>
      </w:r>
      <w:r>
        <w:rPr>
          <w:rStyle w:val="ng-star-inserted1"/>
          <w:rFonts w:ascii="Arial" w:hAnsi="Arial" w:cs="Arial" w:hint="eastAsia"/>
          <w:sz w:val="20"/>
          <w:szCs w:val="20"/>
        </w:rPr>
        <w:t>,</w:t>
      </w:r>
      <w:r>
        <w:rPr>
          <w:rStyle w:val="ng-star-inserted1"/>
          <w:rFonts w:ascii="Arial" w:hAnsi="Arial" w:cs="Arial"/>
          <w:sz w:val="20"/>
          <w:szCs w:val="20"/>
        </w:rPr>
        <w:t xml:space="preserve"> AGA patients aged ≥40 years</w:t>
      </w:r>
      <w:r>
        <w:rPr>
          <w:rStyle w:val="ng-star-inserted1"/>
          <w:rFonts w:ascii="Arial" w:hAnsi="Arial" w:cs="Arial" w:hint="eastAsia"/>
          <w:sz w:val="20"/>
          <w:szCs w:val="20"/>
        </w:rPr>
        <w:t xml:space="preserve">; </w:t>
      </w:r>
      <w:r>
        <w:rPr>
          <w:rStyle w:val="ng-star-inserted1"/>
          <w:rFonts w:ascii="Arial" w:hAnsi="Arial" w:cs="Arial"/>
          <w:sz w:val="20"/>
          <w:szCs w:val="20"/>
        </w:rPr>
        <w:t>C30</w:t>
      </w:r>
      <w:r>
        <w:rPr>
          <w:rStyle w:val="ng-star-inserted1"/>
          <w:rFonts w:ascii="Arial" w:hAnsi="Arial" w:cs="Arial" w:hint="eastAsia"/>
          <w:sz w:val="20"/>
          <w:szCs w:val="20"/>
        </w:rPr>
        <w:t>,</w:t>
      </w:r>
      <w:r>
        <w:rPr>
          <w:rStyle w:val="ng-star-inserted1"/>
          <w:rFonts w:ascii="Arial" w:hAnsi="Arial" w:cs="Arial"/>
          <w:sz w:val="20"/>
          <w:szCs w:val="20"/>
        </w:rPr>
        <w:t xml:space="preserve"> Healthy controls aged 30–39 years</w:t>
      </w:r>
      <w:r>
        <w:rPr>
          <w:rStyle w:val="ng-star-inserted1"/>
          <w:rFonts w:ascii="Arial" w:hAnsi="Arial" w:cs="Arial" w:hint="eastAsia"/>
          <w:sz w:val="20"/>
          <w:szCs w:val="20"/>
        </w:rPr>
        <w:t xml:space="preserve">; </w:t>
      </w:r>
      <w:r>
        <w:rPr>
          <w:rStyle w:val="ng-star-inserted1"/>
          <w:rFonts w:ascii="Arial" w:hAnsi="Arial" w:cs="Arial"/>
          <w:sz w:val="20"/>
          <w:szCs w:val="20"/>
        </w:rPr>
        <w:t>LDA</w:t>
      </w:r>
      <w:r>
        <w:rPr>
          <w:rStyle w:val="ng-star-inserted1"/>
          <w:rFonts w:ascii="Arial" w:hAnsi="Arial" w:cs="Arial" w:hint="eastAsia"/>
          <w:sz w:val="20"/>
          <w:szCs w:val="20"/>
        </w:rPr>
        <w:t>,</w:t>
      </w:r>
      <w:r>
        <w:rPr>
          <w:rStyle w:val="ng-star-inserted1"/>
          <w:rFonts w:ascii="Arial" w:hAnsi="Arial" w:cs="Arial"/>
          <w:sz w:val="20"/>
          <w:szCs w:val="20"/>
        </w:rPr>
        <w:t xml:space="preserve"> Linear Discriminant Analysis</w:t>
      </w:r>
      <w:r>
        <w:rPr>
          <w:rStyle w:val="ng-star-inserted1"/>
          <w:rFonts w:ascii="Arial" w:hAnsi="Arial" w:cs="Arial" w:hint="eastAsia"/>
          <w:sz w:val="20"/>
          <w:szCs w:val="20"/>
        </w:rPr>
        <w:t xml:space="preserve">; </w:t>
      </w:r>
      <w:r>
        <w:rPr>
          <w:rStyle w:val="ng-star-inserted1"/>
          <w:rFonts w:ascii="Arial" w:hAnsi="Arial" w:cs="Arial"/>
          <w:sz w:val="20"/>
          <w:szCs w:val="20"/>
        </w:rPr>
        <w:t>LEfSe</w:t>
      </w:r>
      <w:r>
        <w:rPr>
          <w:rStyle w:val="ng-star-inserted1"/>
          <w:rFonts w:ascii="Arial" w:hAnsi="Arial" w:cs="Arial" w:hint="eastAsia"/>
          <w:sz w:val="20"/>
          <w:szCs w:val="20"/>
        </w:rPr>
        <w:t>,</w:t>
      </w:r>
      <w:r>
        <w:rPr>
          <w:rStyle w:val="ng-star-inserted1"/>
          <w:rFonts w:ascii="Arial" w:hAnsi="Arial" w:cs="Arial"/>
          <w:sz w:val="20"/>
          <w:szCs w:val="20"/>
        </w:rPr>
        <w:t xml:space="preserve"> Linear Discriminant Analysis Effect Size</w:t>
      </w:r>
    </w:p>
    <w:p w14:paraId="61E488F2" w14:textId="77777777" w:rsidR="0062521E" w:rsidRDefault="0062521E">
      <w:pPr>
        <w:rPr>
          <w:rFonts w:ascii="Arial" w:hAnsi="Arial" w:cs="Arial"/>
          <w:sz w:val="20"/>
          <w:szCs w:val="20"/>
        </w:rPr>
      </w:pPr>
    </w:p>
    <w:p w14:paraId="61E488F3" w14:textId="77777777" w:rsidR="0062521E" w:rsidRDefault="00F417E0">
      <w:pPr>
        <w:rPr>
          <w:rStyle w:val="ng-star-inserted"/>
          <w:rFonts w:ascii="Arial" w:hAnsi="Arial" w:cs="Arial"/>
          <w:color w:val="1A1C1E"/>
          <w:sz w:val="20"/>
          <w:szCs w:val="20"/>
          <w:shd w:val="clear" w:color="auto" w:fill="FFFFFF"/>
        </w:rPr>
      </w:pPr>
      <w:r>
        <w:rPr>
          <w:rFonts w:ascii="Arial" w:hAnsi="Arial" w:cs="Arial"/>
          <w:b/>
          <w:bCs/>
          <w:sz w:val="20"/>
          <w:szCs w:val="20"/>
        </w:rPr>
        <w:t>Supplementary Figure 7</w:t>
      </w:r>
      <w:r>
        <w:rPr>
          <w:rFonts w:ascii="Arial" w:hAnsi="Arial" w:cs="Arial" w:hint="eastAsia"/>
          <w:b/>
          <w:bCs/>
          <w:sz w:val="20"/>
          <w:szCs w:val="20"/>
        </w:rPr>
        <w:t>:</w:t>
      </w:r>
      <w:r>
        <w:rPr>
          <w:rStyle w:val="Heading1Char"/>
          <w:rFonts w:ascii="Arial" w:hAnsi="Arial" w:cs="Arial"/>
          <w:b/>
          <w:bCs/>
          <w:color w:val="1A1C1E"/>
          <w:sz w:val="20"/>
          <w:szCs w:val="20"/>
          <w:shd w:val="clear" w:color="auto" w:fill="FFFFFF"/>
        </w:rPr>
        <w:t xml:space="preserve"> </w:t>
      </w:r>
      <w:r>
        <w:rPr>
          <w:rStyle w:val="Heading1Char"/>
          <w:rFonts w:ascii="Arial" w:hAnsi="Arial" w:cs="Arial" w:hint="eastAsia"/>
          <w:b/>
          <w:bCs/>
          <w:color w:val="1A1C1E"/>
          <w:sz w:val="20"/>
          <w:szCs w:val="20"/>
          <w:shd w:val="clear" w:color="auto" w:fill="FFFFFF"/>
        </w:rPr>
        <w:t>Phylogenetic distribution maps the structural evolution of the follicular mycobiome across varying age groups</w:t>
      </w:r>
      <w:r>
        <w:rPr>
          <w:rFonts w:ascii="Arial" w:hAnsi="Arial" w:cs="Arial"/>
          <w:color w:val="1A1C1E"/>
          <w:sz w:val="20"/>
          <w:szCs w:val="20"/>
        </w:rPr>
        <w:br/>
      </w:r>
      <w:r>
        <w:rPr>
          <w:rStyle w:val="ng-star-inserted"/>
          <w:rFonts w:ascii="Arial" w:hAnsi="Arial" w:cs="Arial" w:hint="eastAsia"/>
          <w:color w:val="1A1C1E"/>
          <w:sz w:val="20"/>
          <w:szCs w:val="20"/>
          <w:shd w:val="clear" w:color="auto" w:fill="FFFFFF"/>
        </w:rPr>
        <w:t>A cladogram maps the significant fungal biomarkers identified in Supplementary Figure 6, illustrating the distinct phylogenetic branches driving the age-related dysbiosis in AGA patients.</w:t>
      </w:r>
    </w:p>
    <w:p w14:paraId="61E488F4" w14:textId="77777777" w:rsidR="0062521E" w:rsidRDefault="00F417E0">
      <w:pPr>
        <w:rPr>
          <w:rFonts w:ascii="Arial" w:hAnsi="Arial" w:cs="Arial"/>
          <w:sz w:val="20"/>
          <w:szCs w:val="20"/>
        </w:rPr>
      </w:pPr>
      <w:r>
        <w:rPr>
          <w:rStyle w:val="ng-star-inserted1"/>
          <w:rFonts w:ascii="Arial" w:hAnsi="Arial" w:cs="Arial"/>
          <w:b/>
          <w:bCs/>
          <w:sz w:val="20"/>
          <w:szCs w:val="20"/>
        </w:rPr>
        <w:t>Abbreviations:</w:t>
      </w:r>
      <w:r>
        <w:rPr>
          <w:rStyle w:val="ng-star-inserted1"/>
          <w:rFonts w:ascii="Arial" w:hAnsi="Arial" w:cs="Arial" w:hint="eastAsia"/>
          <w:b/>
          <w:bCs/>
          <w:sz w:val="20"/>
          <w:szCs w:val="20"/>
        </w:rPr>
        <w:t xml:space="preserve"> </w:t>
      </w:r>
      <w:r>
        <w:rPr>
          <w:rStyle w:val="ng-star-inserted1"/>
          <w:rFonts w:ascii="Arial" w:hAnsi="Arial" w:cs="Arial"/>
          <w:sz w:val="20"/>
          <w:szCs w:val="20"/>
        </w:rPr>
        <w:t>A20</w:t>
      </w:r>
      <w:r>
        <w:rPr>
          <w:rStyle w:val="ng-star-inserted1"/>
          <w:rFonts w:ascii="Arial" w:hAnsi="Arial" w:cs="Arial" w:hint="eastAsia"/>
          <w:sz w:val="20"/>
          <w:szCs w:val="20"/>
        </w:rPr>
        <w:t>,</w:t>
      </w:r>
      <w:r>
        <w:rPr>
          <w:rStyle w:val="ng-star-inserted1"/>
          <w:rFonts w:ascii="Arial" w:hAnsi="Arial" w:cs="Arial"/>
          <w:sz w:val="20"/>
          <w:szCs w:val="20"/>
        </w:rPr>
        <w:t xml:space="preserve"> AGA patients aged 18–29 years</w:t>
      </w:r>
      <w:r>
        <w:rPr>
          <w:rStyle w:val="ng-star-inserted1"/>
          <w:rFonts w:ascii="Arial" w:hAnsi="Arial" w:cs="Arial" w:hint="eastAsia"/>
          <w:sz w:val="20"/>
          <w:szCs w:val="20"/>
        </w:rPr>
        <w:t xml:space="preserve">; </w:t>
      </w:r>
      <w:r>
        <w:rPr>
          <w:rStyle w:val="ng-star-inserted1"/>
          <w:rFonts w:ascii="Arial" w:hAnsi="Arial" w:cs="Arial"/>
          <w:sz w:val="20"/>
          <w:szCs w:val="20"/>
        </w:rPr>
        <w:t>A40</w:t>
      </w:r>
      <w:r>
        <w:rPr>
          <w:rStyle w:val="ng-star-inserted1"/>
          <w:rFonts w:ascii="Arial" w:hAnsi="Arial" w:cs="Arial" w:hint="eastAsia"/>
          <w:sz w:val="20"/>
          <w:szCs w:val="20"/>
        </w:rPr>
        <w:t>,</w:t>
      </w:r>
      <w:r>
        <w:rPr>
          <w:rStyle w:val="ng-star-inserted1"/>
          <w:rFonts w:ascii="Arial" w:hAnsi="Arial" w:cs="Arial"/>
          <w:sz w:val="20"/>
          <w:szCs w:val="20"/>
        </w:rPr>
        <w:t xml:space="preserve"> AGA patients aged ≥40 years</w:t>
      </w:r>
      <w:r>
        <w:rPr>
          <w:rStyle w:val="ng-star-inserted1"/>
          <w:rFonts w:ascii="Arial" w:hAnsi="Arial" w:cs="Arial" w:hint="eastAsia"/>
          <w:sz w:val="20"/>
          <w:szCs w:val="20"/>
        </w:rPr>
        <w:t xml:space="preserve">; </w:t>
      </w:r>
      <w:r>
        <w:rPr>
          <w:rStyle w:val="ng-star-inserted1"/>
          <w:rFonts w:ascii="Arial" w:hAnsi="Arial" w:cs="Arial"/>
          <w:sz w:val="20"/>
          <w:szCs w:val="20"/>
        </w:rPr>
        <w:t>C30</w:t>
      </w:r>
      <w:r>
        <w:rPr>
          <w:rStyle w:val="ng-star-inserted1"/>
          <w:rFonts w:ascii="Arial" w:hAnsi="Arial" w:cs="Arial" w:hint="eastAsia"/>
          <w:sz w:val="20"/>
          <w:szCs w:val="20"/>
        </w:rPr>
        <w:t>,</w:t>
      </w:r>
      <w:r>
        <w:rPr>
          <w:rStyle w:val="ng-star-inserted1"/>
          <w:rFonts w:ascii="Arial" w:hAnsi="Arial" w:cs="Arial"/>
          <w:sz w:val="20"/>
          <w:szCs w:val="20"/>
        </w:rPr>
        <w:t xml:space="preserve"> Healthy controls aged 30–39 years</w:t>
      </w:r>
      <w:r>
        <w:rPr>
          <w:rStyle w:val="ng-star-inserted1"/>
          <w:rFonts w:ascii="Arial" w:hAnsi="Arial" w:cs="Arial" w:hint="eastAsia"/>
          <w:sz w:val="20"/>
          <w:szCs w:val="20"/>
        </w:rPr>
        <w:t xml:space="preserve">; </w:t>
      </w:r>
      <w:r>
        <w:rPr>
          <w:rStyle w:val="ng-star-inserted1"/>
          <w:rFonts w:ascii="Arial" w:hAnsi="Arial" w:cs="Arial"/>
          <w:sz w:val="20"/>
          <w:szCs w:val="20"/>
        </w:rPr>
        <w:t>LDA</w:t>
      </w:r>
      <w:r>
        <w:rPr>
          <w:rStyle w:val="ng-star-inserted1"/>
          <w:rFonts w:ascii="Arial" w:hAnsi="Arial" w:cs="Arial" w:hint="eastAsia"/>
          <w:sz w:val="20"/>
          <w:szCs w:val="20"/>
        </w:rPr>
        <w:t>,</w:t>
      </w:r>
      <w:r>
        <w:rPr>
          <w:rStyle w:val="ng-star-inserted1"/>
          <w:rFonts w:ascii="Arial" w:hAnsi="Arial" w:cs="Arial"/>
          <w:sz w:val="20"/>
          <w:szCs w:val="20"/>
        </w:rPr>
        <w:t xml:space="preserve"> Linear Discriminant Analysis</w:t>
      </w:r>
      <w:r>
        <w:rPr>
          <w:rStyle w:val="ng-star-inserted1"/>
          <w:rFonts w:ascii="Arial" w:hAnsi="Arial" w:cs="Arial" w:hint="eastAsia"/>
          <w:sz w:val="20"/>
          <w:szCs w:val="20"/>
        </w:rPr>
        <w:t xml:space="preserve">; </w:t>
      </w:r>
      <w:r>
        <w:rPr>
          <w:rStyle w:val="ng-star-inserted1"/>
          <w:rFonts w:ascii="Arial" w:hAnsi="Arial" w:cs="Arial"/>
          <w:sz w:val="20"/>
          <w:szCs w:val="20"/>
        </w:rPr>
        <w:t>LEfSe</w:t>
      </w:r>
      <w:r>
        <w:rPr>
          <w:rStyle w:val="ng-star-inserted1"/>
          <w:rFonts w:ascii="Arial" w:hAnsi="Arial" w:cs="Arial" w:hint="eastAsia"/>
          <w:sz w:val="20"/>
          <w:szCs w:val="20"/>
        </w:rPr>
        <w:t>,</w:t>
      </w:r>
      <w:r>
        <w:rPr>
          <w:rStyle w:val="ng-star-inserted1"/>
          <w:rFonts w:ascii="Arial" w:hAnsi="Arial" w:cs="Arial"/>
          <w:sz w:val="20"/>
          <w:szCs w:val="20"/>
        </w:rPr>
        <w:t xml:space="preserve"> Linear Discriminant Analysis Effect Size</w:t>
      </w:r>
    </w:p>
    <w:p w14:paraId="61E488F5" w14:textId="77777777" w:rsidR="0062521E" w:rsidRDefault="0062521E">
      <w:pPr>
        <w:rPr>
          <w:rFonts w:ascii="Arial" w:hAnsi="Arial" w:cs="Arial"/>
          <w:sz w:val="20"/>
          <w:szCs w:val="20"/>
        </w:rPr>
      </w:pPr>
    </w:p>
    <w:p w14:paraId="61E488F6" w14:textId="77777777" w:rsidR="0062521E" w:rsidRDefault="00F417E0">
      <w:pPr>
        <w:rPr>
          <w:rStyle w:val="ng-star-inserted"/>
          <w:rFonts w:ascii="Arial" w:hAnsi="Arial" w:cs="Arial"/>
          <w:color w:val="1A1C1E"/>
          <w:sz w:val="20"/>
          <w:szCs w:val="20"/>
          <w:shd w:val="clear" w:color="auto" w:fill="FFFFFF"/>
        </w:rPr>
      </w:pPr>
      <w:r>
        <w:rPr>
          <w:rFonts w:ascii="Arial" w:hAnsi="Arial" w:cs="Arial"/>
          <w:b/>
          <w:bCs/>
          <w:sz w:val="20"/>
          <w:szCs w:val="20"/>
        </w:rPr>
        <w:t xml:space="preserve">Supplementary Figure </w:t>
      </w:r>
      <w:r>
        <w:rPr>
          <w:rStyle w:val="ng-star-inserted"/>
          <w:rFonts w:ascii="Arial" w:hAnsi="Arial" w:cs="Arial"/>
          <w:b/>
          <w:bCs/>
          <w:color w:val="1A1C1E"/>
          <w:sz w:val="20"/>
          <w:szCs w:val="20"/>
          <w:shd w:val="clear" w:color="auto" w:fill="FFFFFF"/>
        </w:rPr>
        <w:t>8</w:t>
      </w:r>
      <w:r>
        <w:rPr>
          <w:rStyle w:val="ng-star-inserted"/>
          <w:rFonts w:ascii="Arial" w:hAnsi="Arial" w:cs="Arial" w:hint="eastAsia"/>
          <w:b/>
          <w:bCs/>
          <w:color w:val="1A1C1E"/>
          <w:sz w:val="20"/>
          <w:szCs w:val="20"/>
          <w:shd w:val="clear" w:color="auto" w:fill="FFFFFF"/>
        </w:rPr>
        <w:t>:</w:t>
      </w:r>
      <w:r>
        <w:rPr>
          <w:rStyle w:val="ng-star-inserted"/>
          <w:rFonts w:ascii="Arial" w:hAnsi="Arial" w:cs="Arial"/>
          <w:b/>
          <w:bCs/>
          <w:color w:val="1A1C1E"/>
          <w:sz w:val="20"/>
          <w:szCs w:val="20"/>
          <w:shd w:val="clear" w:color="auto" w:fill="FFFFFF"/>
        </w:rPr>
        <w:t xml:space="preserve"> </w:t>
      </w:r>
      <w:r>
        <w:rPr>
          <w:rStyle w:val="ng-star-inserted"/>
          <w:rFonts w:ascii="Arial" w:hAnsi="Arial" w:cs="Arial" w:hint="eastAsia"/>
          <w:b/>
          <w:bCs/>
          <w:color w:val="1A1C1E"/>
          <w:sz w:val="20"/>
          <w:szCs w:val="20"/>
          <w:shd w:val="clear" w:color="auto" w:fill="FFFFFF"/>
        </w:rPr>
        <w:t>Geographical location significantly disrupts the bacterial community structure in AGA follicles, while healthy follicles remain resilient</w:t>
      </w:r>
      <w:r>
        <w:rPr>
          <w:rFonts w:ascii="Arial" w:hAnsi="Arial" w:cs="Arial"/>
          <w:color w:val="1A1C1E"/>
          <w:sz w:val="20"/>
          <w:szCs w:val="20"/>
        </w:rPr>
        <w:br/>
      </w:r>
      <w:r>
        <w:rPr>
          <w:rStyle w:val="ng-star-inserted"/>
          <w:rFonts w:ascii="Arial" w:hAnsi="Arial" w:cs="Arial" w:hint="eastAsia"/>
          <w:color w:val="1A1C1E"/>
          <w:sz w:val="20"/>
          <w:szCs w:val="20"/>
          <w:shd w:val="clear" w:color="auto" w:fill="FFFFFF"/>
        </w:rPr>
        <w:t>Principal Coordinate Analysis (PCoA) plots visualizes structural differences in bacterial communities. (a) Global comparison of all eight subgroups. (b) Healthy controls from Beijing (CB) and Shandong (CS) exhibit closely overlapping clusters, indicating a stable, geography-independent core microbiome in healthy follicles. (c) In contrast, AGA patients from Beijing (AB) and Shandong (AS) display distinct spatial separation, demonstrating that the bacterial community in AGA follicles is significantly influenced by environmental factors.</w:t>
      </w:r>
    </w:p>
    <w:p w14:paraId="61E488F7" w14:textId="77777777" w:rsidR="0062521E" w:rsidRDefault="00F417E0">
      <w:pPr>
        <w:rPr>
          <w:rStyle w:val="ng-star-inserted1"/>
          <w:rFonts w:ascii="Arial" w:hAnsi="Arial" w:cs="Arial"/>
          <w:b/>
          <w:bCs/>
          <w:sz w:val="20"/>
          <w:szCs w:val="20"/>
        </w:rPr>
      </w:pPr>
      <w:r>
        <w:rPr>
          <w:rStyle w:val="ng-star-inserted1"/>
          <w:rFonts w:ascii="Arial" w:hAnsi="Arial" w:cs="Arial"/>
          <w:b/>
          <w:bCs/>
          <w:sz w:val="20"/>
          <w:szCs w:val="20"/>
        </w:rPr>
        <w:t>Abbreviations:</w:t>
      </w:r>
      <w:r>
        <w:rPr>
          <w:rStyle w:val="ng-star-inserted1"/>
          <w:rFonts w:ascii="Arial" w:hAnsi="Arial" w:cs="Arial" w:hint="eastAsia"/>
          <w:b/>
          <w:bCs/>
          <w:sz w:val="20"/>
          <w:szCs w:val="20"/>
        </w:rPr>
        <w:t xml:space="preserve"> </w:t>
      </w:r>
      <w:r>
        <w:rPr>
          <w:rStyle w:val="ng-star-inserted1"/>
          <w:rFonts w:ascii="Arial" w:hAnsi="Arial" w:cs="Arial"/>
          <w:sz w:val="20"/>
          <w:szCs w:val="20"/>
        </w:rPr>
        <w:t>AB, AGA patients in Beijing; AS, AGA patients in Shandong; CB, healthy controls in Beijing; CS, healthy controls in Shandong; PCoA, Principal Coordinate Analysis; TCB, control vertex (Beijing); OCB, control occipital (Beijing); TCS, control vertex (Shandong); OCS, control occipital (Shandong); TAB, AGA vertex (Beijing); OAB, AGA occipital (Beijing); TAS, AGA vertex (Shandong); OAS, AGA occipital (Shandong).</w:t>
      </w:r>
    </w:p>
    <w:p w14:paraId="61E488F8" w14:textId="77777777" w:rsidR="0062521E" w:rsidRDefault="0062521E">
      <w:pPr>
        <w:rPr>
          <w:rFonts w:ascii="Arial" w:hAnsi="Arial" w:cs="Arial"/>
          <w:sz w:val="20"/>
          <w:szCs w:val="20"/>
        </w:rPr>
      </w:pPr>
    </w:p>
    <w:p w14:paraId="61E488F9" w14:textId="77777777" w:rsidR="0062521E" w:rsidRDefault="00F417E0">
      <w:pPr>
        <w:rPr>
          <w:rFonts w:ascii="Arial" w:hAnsi="Arial" w:cs="Arial"/>
          <w:b/>
          <w:bCs/>
          <w:sz w:val="20"/>
          <w:szCs w:val="20"/>
        </w:rPr>
      </w:pPr>
      <w:r>
        <w:rPr>
          <w:rFonts w:ascii="Arial" w:hAnsi="Arial" w:cs="Arial"/>
          <w:b/>
          <w:bCs/>
          <w:sz w:val="20"/>
          <w:szCs w:val="20"/>
        </w:rPr>
        <w:t>Supplementary Figure 9</w:t>
      </w:r>
      <w:r>
        <w:rPr>
          <w:rFonts w:ascii="Arial" w:hAnsi="Arial" w:cs="Arial" w:hint="eastAsia"/>
          <w:b/>
          <w:bCs/>
          <w:sz w:val="20"/>
          <w:szCs w:val="20"/>
        </w:rPr>
        <w:t>:</w:t>
      </w:r>
      <w:r>
        <w:rPr>
          <w:b/>
          <w:bCs/>
        </w:rPr>
        <w:t xml:space="preserve"> </w:t>
      </w:r>
      <w:r>
        <w:rPr>
          <w:rFonts w:hint="eastAsia"/>
          <w:b/>
          <w:bCs/>
        </w:rPr>
        <w:t>The scalp mycobiome of AGA patients exhibits significant geographic divergence compared to the stable mycobiome of healthy controls</w:t>
      </w:r>
    </w:p>
    <w:p w14:paraId="61E488FA" w14:textId="77777777" w:rsidR="0062521E" w:rsidRDefault="00F417E0">
      <w:pPr>
        <w:rPr>
          <w:rFonts w:ascii="Arial" w:hAnsi="Arial" w:cs="Arial"/>
          <w:sz w:val="20"/>
          <w:szCs w:val="20"/>
        </w:rPr>
      </w:pPr>
      <w:r>
        <w:rPr>
          <w:rFonts w:ascii="Arial" w:hAnsi="Arial" w:cs="Arial" w:hint="eastAsia"/>
          <w:sz w:val="20"/>
          <w:szCs w:val="20"/>
        </w:rPr>
        <w:t>PCoA plots visualizing the structural patterns of the fungal community. (a) Global comparison differentiating all location, site, and disease status groups (PERMANOVA R</w:t>
      </w:r>
      <w:r>
        <w:rPr>
          <w:rFonts w:ascii="Arial" w:hAnsi="Arial" w:cs="Arial" w:hint="eastAsia"/>
          <w:sz w:val="20"/>
          <w:szCs w:val="20"/>
        </w:rPr>
        <w:t>²</w:t>
      </w:r>
      <w:r>
        <w:rPr>
          <w:rFonts w:ascii="Arial" w:hAnsi="Arial" w:cs="Arial" w:hint="eastAsia"/>
          <w:sz w:val="20"/>
          <w:szCs w:val="20"/>
        </w:rPr>
        <w:t xml:space="preserve">=0.07, </w:t>
      </w:r>
      <w:r>
        <w:rPr>
          <w:rFonts w:ascii="Arial Italic" w:hAnsi="Arial Italic" w:cs="Arial Italic"/>
          <w:i/>
          <w:iCs/>
          <w:sz w:val="20"/>
          <w:szCs w:val="20"/>
        </w:rPr>
        <w:t>p</w:t>
      </w:r>
      <w:r>
        <w:rPr>
          <w:rFonts w:ascii="Arial Italic" w:hAnsi="Arial Italic" w:cs="Arial Italic" w:hint="eastAsia"/>
          <w:i/>
          <w:iCs/>
          <w:sz w:val="20"/>
          <w:szCs w:val="20"/>
        </w:rPr>
        <w:t xml:space="preserve"> </w:t>
      </w:r>
      <w:r>
        <w:rPr>
          <w:rFonts w:ascii="Arial" w:hAnsi="Arial" w:cs="Arial" w:hint="eastAsia"/>
          <w:sz w:val="20"/>
          <w:szCs w:val="20"/>
        </w:rPr>
        <w:t>&lt; 0.001). (b) Comparison of aggregated groups confirms that while the mycobiome of healthy controls (CB vs. CS) remains clustered, the fungal community in AGA follicles (AB vs. AS) diverges significantly based on geographical location (PERMANOVA R</w:t>
      </w:r>
      <w:r>
        <w:rPr>
          <w:rFonts w:ascii="Arial" w:hAnsi="Arial" w:cs="Arial" w:hint="eastAsia"/>
          <w:sz w:val="20"/>
          <w:szCs w:val="20"/>
        </w:rPr>
        <w:t>²</w:t>
      </w:r>
      <w:r>
        <w:rPr>
          <w:rFonts w:ascii="Arial" w:hAnsi="Arial" w:cs="Arial" w:hint="eastAsia"/>
          <w:sz w:val="20"/>
          <w:szCs w:val="20"/>
        </w:rPr>
        <w:t xml:space="preserve">=0.04,  </w:t>
      </w:r>
      <w:r>
        <w:rPr>
          <w:rFonts w:ascii="Arial Italic" w:hAnsi="Arial Italic" w:cs="Arial Italic"/>
          <w:i/>
          <w:iCs/>
          <w:sz w:val="20"/>
          <w:szCs w:val="20"/>
        </w:rPr>
        <w:t>p</w:t>
      </w:r>
      <w:r>
        <w:rPr>
          <w:rFonts w:ascii="Arial Italic" w:hAnsi="Arial Italic" w:cs="Arial Italic" w:hint="eastAsia"/>
          <w:i/>
          <w:iCs/>
          <w:sz w:val="20"/>
          <w:szCs w:val="20"/>
        </w:rPr>
        <w:t xml:space="preserve"> </w:t>
      </w:r>
      <w:r>
        <w:rPr>
          <w:rFonts w:ascii="Arial" w:hAnsi="Arial" w:cs="Arial" w:hint="eastAsia"/>
          <w:sz w:val="20"/>
          <w:szCs w:val="20"/>
        </w:rPr>
        <w:t>&lt; 0.001).</w:t>
      </w:r>
    </w:p>
    <w:p w14:paraId="61E488FB" w14:textId="77777777" w:rsidR="0062521E" w:rsidRDefault="00F417E0">
      <w:pPr>
        <w:rPr>
          <w:rStyle w:val="ng-star-inserted1"/>
          <w:rFonts w:ascii="Arial" w:hAnsi="Arial" w:cs="Arial"/>
          <w:b/>
          <w:bCs/>
          <w:sz w:val="20"/>
          <w:szCs w:val="20"/>
        </w:rPr>
      </w:pPr>
      <w:r>
        <w:rPr>
          <w:rStyle w:val="ng-star-inserted1"/>
          <w:rFonts w:ascii="Arial" w:hAnsi="Arial" w:cs="Arial"/>
          <w:b/>
          <w:bCs/>
          <w:sz w:val="20"/>
          <w:szCs w:val="20"/>
        </w:rPr>
        <w:t>Abbreviations:</w:t>
      </w:r>
      <w:r>
        <w:rPr>
          <w:rStyle w:val="ng-star-inserted1"/>
          <w:rFonts w:ascii="Arial" w:hAnsi="Arial" w:cs="Arial" w:hint="eastAsia"/>
          <w:b/>
          <w:bCs/>
          <w:sz w:val="20"/>
          <w:szCs w:val="20"/>
        </w:rPr>
        <w:t xml:space="preserve"> </w:t>
      </w:r>
      <w:r>
        <w:rPr>
          <w:rStyle w:val="ng-star-inserted1"/>
          <w:rFonts w:ascii="Arial" w:hAnsi="Arial" w:cs="Arial"/>
          <w:sz w:val="20"/>
          <w:szCs w:val="20"/>
        </w:rPr>
        <w:t>AB, AGA patients in Beijing; AS, AGA patients in Shandong; CB, healthy controls in Beijing; CS, healthy controls in Shandong; PCoA, Principal Coordinate Analysis; TCB, control vertex (Beijing); OCB, control occipital (Beijing); TCS, control vertex (Shandong); OCS, control occipital (Shandong); TAB, AGA vertex (Beijing); OAB, AGA occipital (Beijing); TAS, AGA vertex (Shandong); OAS, AGA occipital (Shandong).</w:t>
      </w:r>
    </w:p>
    <w:p w14:paraId="61E488FC" w14:textId="77777777" w:rsidR="0062521E" w:rsidRDefault="0062521E">
      <w:pPr>
        <w:rPr>
          <w:rFonts w:ascii="Arial" w:hAnsi="Arial" w:cs="Arial"/>
          <w:sz w:val="20"/>
          <w:szCs w:val="20"/>
        </w:rPr>
      </w:pPr>
    </w:p>
    <w:p w14:paraId="61E488FD" w14:textId="77777777" w:rsidR="0062521E" w:rsidRDefault="00F417E0">
      <w:pPr>
        <w:rPr>
          <w:rFonts w:ascii="Arial" w:hAnsi="Arial" w:cs="Arial"/>
          <w:b/>
          <w:bCs/>
          <w:sz w:val="20"/>
          <w:szCs w:val="20"/>
        </w:rPr>
      </w:pPr>
      <w:r>
        <w:rPr>
          <w:rFonts w:ascii="Arial" w:hAnsi="Arial" w:cs="Arial"/>
          <w:b/>
          <w:bCs/>
          <w:sz w:val="20"/>
          <w:szCs w:val="20"/>
        </w:rPr>
        <w:t>Supplementary Figure 10</w:t>
      </w:r>
      <w:r>
        <w:rPr>
          <w:rFonts w:ascii="Arial" w:hAnsi="Arial" w:cs="Arial" w:hint="eastAsia"/>
          <w:b/>
          <w:bCs/>
          <w:sz w:val="20"/>
          <w:szCs w:val="20"/>
        </w:rPr>
        <w:t>: LEfSe analysis identifies distinct bacterial biomarkers driven by geographical location and disease status</w:t>
      </w:r>
    </w:p>
    <w:p w14:paraId="61E488FE" w14:textId="77777777" w:rsidR="0062521E" w:rsidRDefault="00F417E0">
      <w:pPr>
        <w:rPr>
          <w:rStyle w:val="ng-star-inserted"/>
          <w:rFonts w:ascii="Arial" w:hAnsi="Arial" w:cs="Arial"/>
          <w:color w:val="1A1C1E"/>
          <w:sz w:val="20"/>
          <w:szCs w:val="20"/>
          <w:shd w:val="clear" w:color="auto" w:fill="FFFFFF"/>
        </w:rPr>
      </w:pPr>
      <w:r>
        <w:rPr>
          <w:rStyle w:val="ng-star-inserted"/>
          <w:rFonts w:ascii="Arial" w:hAnsi="Arial" w:cs="Arial" w:hint="eastAsia"/>
          <w:color w:val="1A1C1E"/>
          <w:sz w:val="20"/>
          <w:szCs w:val="20"/>
          <w:shd w:val="clear" w:color="auto" w:fill="FFFFFF"/>
        </w:rPr>
        <w:t>Histogram of LDA scores (log10 &gt; 2.0) highlights the differentially abundant bacterial taxa uniquely associated with specific geographic regions (Beijing vs. Shandong) and scalp niches in both AGA and control groups.</w:t>
      </w:r>
    </w:p>
    <w:p w14:paraId="61E488FF" w14:textId="77777777" w:rsidR="0062521E" w:rsidRDefault="00F417E0">
      <w:pPr>
        <w:rPr>
          <w:rFonts w:ascii="Arial" w:hAnsi="Arial" w:cs="Arial"/>
          <w:sz w:val="20"/>
          <w:szCs w:val="20"/>
        </w:rPr>
      </w:pPr>
      <w:r>
        <w:rPr>
          <w:rStyle w:val="ng-star-inserted"/>
          <w:rFonts w:ascii="Arial" w:hAnsi="Arial" w:cs="Arial"/>
          <w:b/>
          <w:bCs/>
          <w:color w:val="1A1C1E"/>
          <w:sz w:val="20"/>
          <w:szCs w:val="20"/>
          <w:shd w:val="clear" w:color="auto" w:fill="FFFFFF"/>
        </w:rPr>
        <w:t>Abbreviations:</w:t>
      </w:r>
      <w:r>
        <w:rPr>
          <w:rStyle w:val="ng-star-inserted"/>
          <w:rFonts w:ascii="Arial" w:hAnsi="Arial" w:cs="Arial"/>
          <w:color w:val="1A1C1E"/>
          <w:sz w:val="20"/>
          <w:szCs w:val="20"/>
          <w:shd w:val="clear" w:color="auto" w:fill="FFFFFF"/>
        </w:rPr>
        <w:t> TAB, AGA vertex (Beijing); OAB, AGA occipital (Beijing); TAS, AGA vertex (Shandong); OAS, AGA occipital (Shandong); TCB, control vertex (Beijing); OCB, control occipital (Beijing); TCS, control vertex (Shandong); OCS, control occipital (Shandong); LDA, Linear Discriminant Analysis; LEfSe, Linear Discriminant Analysis Effect Size.</w:t>
      </w:r>
    </w:p>
    <w:p w14:paraId="61E48900" w14:textId="77777777" w:rsidR="0062521E" w:rsidRDefault="0062521E">
      <w:pPr>
        <w:rPr>
          <w:rFonts w:ascii="Arial" w:hAnsi="Arial" w:cs="Arial"/>
          <w:sz w:val="20"/>
          <w:szCs w:val="20"/>
        </w:rPr>
      </w:pPr>
    </w:p>
    <w:p w14:paraId="61E48901" w14:textId="77777777" w:rsidR="0062521E" w:rsidRDefault="00F417E0">
      <w:pPr>
        <w:rPr>
          <w:rStyle w:val="ng-star-inserted"/>
          <w:rFonts w:ascii="Arial" w:hAnsi="Arial" w:cs="Arial"/>
          <w:color w:val="1A1C1E"/>
          <w:sz w:val="20"/>
          <w:szCs w:val="20"/>
          <w:shd w:val="clear" w:color="auto" w:fill="FFFFFF"/>
        </w:rPr>
      </w:pPr>
      <w:r>
        <w:rPr>
          <w:rFonts w:ascii="Arial" w:hAnsi="Arial" w:cs="Arial"/>
          <w:b/>
          <w:bCs/>
          <w:sz w:val="20"/>
          <w:szCs w:val="20"/>
        </w:rPr>
        <w:t>Supplementary Figure 11</w:t>
      </w:r>
      <w:r>
        <w:rPr>
          <w:rFonts w:ascii="Arial" w:hAnsi="Arial" w:cs="Arial" w:hint="eastAsia"/>
          <w:b/>
          <w:bCs/>
          <w:sz w:val="20"/>
          <w:szCs w:val="20"/>
        </w:rPr>
        <w:t xml:space="preserve">: </w:t>
      </w:r>
      <w:r>
        <w:rPr>
          <w:rStyle w:val="ng-star-inserted"/>
          <w:rFonts w:ascii="Arial" w:hAnsi="Arial" w:cs="Arial" w:hint="eastAsia"/>
          <w:b/>
          <w:bCs/>
          <w:color w:val="1A1C1E"/>
          <w:sz w:val="20"/>
          <w:szCs w:val="20"/>
          <w:shd w:val="clear" w:color="auto" w:fill="FFFFFF"/>
        </w:rPr>
        <w:t>Phylogenetic mapping of bacterial biomarkers reveals highly specialized, location-specific colonization patterns in AGA follicles</w:t>
      </w:r>
      <w:r>
        <w:rPr>
          <w:rStyle w:val="ng-star-inserted"/>
          <w:szCs w:val="21"/>
          <w:shd w:val="clear" w:color="auto" w:fill="FFFFFF"/>
        </w:rPr>
        <w:br/>
      </w:r>
      <w:r>
        <w:rPr>
          <w:rStyle w:val="ng-star-inserted"/>
          <w:rFonts w:ascii="Arial" w:hAnsi="Arial" w:cs="Arial" w:hint="eastAsia"/>
          <w:color w:val="1A1C1E"/>
          <w:sz w:val="20"/>
          <w:szCs w:val="20"/>
          <w:shd w:val="clear" w:color="auto" w:fill="FFFFFF"/>
        </w:rPr>
        <w:t>Cladogram visualizing the bacterial biomarkers from Supplementary Figure 10. Key location-disease specific associations include the enrichment of Porphyromonadaceae in the Beijing AGA vertex (TAB), Clostridiales in the Shandong AGA occipital (OAS), Enterobacteriaceae in the Beijing control vertex (TCB), and Verrucomicrobia in the Beijing control occipital (OCB).</w:t>
      </w:r>
    </w:p>
    <w:p w14:paraId="61E48902" w14:textId="77777777" w:rsidR="0062521E" w:rsidRDefault="00F417E0">
      <w:pPr>
        <w:rPr>
          <w:rFonts w:ascii="Arial" w:hAnsi="Arial" w:cs="Arial"/>
          <w:sz w:val="20"/>
          <w:szCs w:val="20"/>
        </w:rPr>
      </w:pPr>
      <w:r>
        <w:rPr>
          <w:rStyle w:val="ng-star-inserted"/>
          <w:rFonts w:ascii="Arial" w:hAnsi="Arial" w:cs="Arial"/>
          <w:b/>
          <w:bCs/>
          <w:color w:val="1A1C1E"/>
          <w:sz w:val="20"/>
          <w:szCs w:val="20"/>
          <w:shd w:val="clear" w:color="auto" w:fill="FFFFFF"/>
        </w:rPr>
        <w:t>Abbreviations:</w:t>
      </w:r>
      <w:r>
        <w:rPr>
          <w:rStyle w:val="ng-star-inserted"/>
          <w:rFonts w:ascii="Arial" w:hAnsi="Arial" w:cs="Arial"/>
          <w:color w:val="1A1C1E"/>
          <w:sz w:val="20"/>
          <w:szCs w:val="20"/>
          <w:shd w:val="clear" w:color="auto" w:fill="FFFFFF"/>
        </w:rPr>
        <w:t> TAB, AGA vertex (Beijing); OAB, AGA occipital (Beijing); TAS, AGA vertex (Shandong); OAS, AGA occipital (Shandong); TCB, control vertex (Beijing); OCB, control occipital (Beijing); TCS, control vertex (Shandong); OCS, control occipital (Shandong); LDA, Linear Discriminant Analysis; LEfSe, Linear Discriminant Analysis Effect Size.</w:t>
      </w:r>
    </w:p>
    <w:p w14:paraId="61E48903" w14:textId="77777777" w:rsidR="0062521E" w:rsidRDefault="0062521E">
      <w:pPr>
        <w:rPr>
          <w:rFonts w:ascii="Arial" w:hAnsi="Arial" w:cs="Arial"/>
          <w:sz w:val="20"/>
          <w:szCs w:val="20"/>
        </w:rPr>
      </w:pPr>
    </w:p>
    <w:p w14:paraId="61E48904" w14:textId="77777777" w:rsidR="0062521E" w:rsidRDefault="00F417E0">
      <w:pPr>
        <w:rPr>
          <w:rStyle w:val="ng-star-inserted"/>
          <w:rFonts w:ascii="Arial" w:hAnsi="Arial" w:cs="Arial"/>
          <w:color w:val="1A1C1E"/>
          <w:sz w:val="20"/>
          <w:szCs w:val="20"/>
          <w:shd w:val="clear" w:color="auto" w:fill="FFFFFF"/>
        </w:rPr>
      </w:pPr>
      <w:r>
        <w:rPr>
          <w:rFonts w:ascii="Arial" w:hAnsi="Arial" w:cs="Arial"/>
          <w:b/>
          <w:bCs/>
          <w:sz w:val="20"/>
          <w:szCs w:val="20"/>
        </w:rPr>
        <w:t>Supplementary Figure 12</w:t>
      </w:r>
      <w:r>
        <w:rPr>
          <w:rFonts w:ascii="Arial" w:hAnsi="Arial" w:cs="Arial" w:hint="eastAsia"/>
          <w:b/>
          <w:bCs/>
          <w:sz w:val="20"/>
          <w:szCs w:val="20"/>
        </w:rPr>
        <w:t>: Fungal community profiling reveals specialized geographic and niche-specific biomarkers</w:t>
      </w:r>
      <w:r>
        <w:rPr>
          <w:rFonts w:ascii="Arial" w:hAnsi="Arial" w:cs="Arial"/>
          <w:color w:val="1A1C1E"/>
          <w:sz w:val="20"/>
          <w:szCs w:val="20"/>
        </w:rPr>
        <w:br/>
      </w:r>
      <w:r>
        <w:rPr>
          <w:rStyle w:val="ng-star-inserted"/>
          <w:rFonts w:ascii="Arial" w:hAnsi="Arial" w:cs="Arial" w:hint="eastAsia"/>
          <w:color w:val="1A1C1E"/>
          <w:sz w:val="20"/>
          <w:szCs w:val="20"/>
          <w:shd w:val="clear" w:color="auto" w:fill="FFFFFF"/>
        </w:rPr>
        <w:t>Histogram of LDA scores (log10 &gt; 2.0) identifying differentially abundant fungal taxa among the subgroups, illustrating how environmental location and scalp site shape the local mycobiome.</w:t>
      </w:r>
    </w:p>
    <w:p w14:paraId="61E48905" w14:textId="77777777" w:rsidR="0062521E" w:rsidRDefault="00F417E0">
      <w:pPr>
        <w:rPr>
          <w:rFonts w:ascii="Arial" w:hAnsi="Arial" w:cs="Arial"/>
          <w:sz w:val="20"/>
          <w:szCs w:val="20"/>
        </w:rPr>
      </w:pPr>
      <w:r>
        <w:rPr>
          <w:rStyle w:val="ng-star-inserted"/>
          <w:rFonts w:ascii="Arial" w:hAnsi="Arial" w:cs="Arial"/>
          <w:b/>
          <w:bCs/>
          <w:color w:val="1A1C1E"/>
          <w:sz w:val="20"/>
          <w:szCs w:val="20"/>
          <w:shd w:val="clear" w:color="auto" w:fill="FFFFFF"/>
        </w:rPr>
        <w:t>Abbreviations:</w:t>
      </w:r>
      <w:r>
        <w:rPr>
          <w:rStyle w:val="ng-star-inserted"/>
          <w:rFonts w:ascii="Arial" w:hAnsi="Arial" w:cs="Arial"/>
          <w:color w:val="1A1C1E"/>
          <w:sz w:val="20"/>
          <w:szCs w:val="20"/>
          <w:shd w:val="clear" w:color="auto" w:fill="FFFFFF"/>
        </w:rPr>
        <w:t> TAB, AGA vertex (Beijing); OAB, AGA occipital (Beijing); TAS, AGA vertex (Shandong); OAS, AGA occipital (Shandong); TCB, control vertex (Beijing); OCB, control occipital (Beijing); TCS, control vertex (Shandong); OCS, control occipital (Shandong); LDA, Linear Discriminant Analysis; LEfSe, Linear Discriminant Analysis Effect Size.</w:t>
      </w:r>
    </w:p>
    <w:p w14:paraId="61E48906" w14:textId="77777777" w:rsidR="0062521E" w:rsidRDefault="0062521E">
      <w:pPr>
        <w:rPr>
          <w:rFonts w:ascii="Arial" w:hAnsi="Arial" w:cs="Arial"/>
          <w:sz w:val="20"/>
          <w:szCs w:val="20"/>
        </w:rPr>
      </w:pPr>
    </w:p>
    <w:p w14:paraId="61E48907" w14:textId="77777777" w:rsidR="0062521E" w:rsidRDefault="00F417E0">
      <w:pPr>
        <w:rPr>
          <w:rStyle w:val="ng-star-inserted"/>
          <w:rFonts w:ascii="Arial" w:hAnsi="Arial" w:cs="Arial"/>
          <w:color w:val="1A1C1E"/>
          <w:sz w:val="20"/>
          <w:szCs w:val="20"/>
          <w:shd w:val="clear" w:color="auto" w:fill="FFFFFF"/>
        </w:rPr>
      </w:pPr>
      <w:r>
        <w:rPr>
          <w:rFonts w:ascii="Arial" w:hAnsi="Arial" w:cs="Arial"/>
          <w:b/>
          <w:bCs/>
          <w:sz w:val="20"/>
          <w:szCs w:val="20"/>
        </w:rPr>
        <w:t>Supplementary Figure 13</w:t>
      </w:r>
      <w:r>
        <w:rPr>
          <w:rFonts w:ascii="Arial" w:hAnsi="Arial" w:cs="Arial" w:hint="eastAsia"/>
          <w:b/>
          <w:bCs/>
          <w:sz w:val="20"/>
          <w:szCs w:val="20"/>
        </w:rPr>
        <w:t>: Phylogenetic visualization highlights the geographical divergence of the scalp mycobiome in diseased versus healthy follicles</w:t>
      </w:r>
      <w:r>
        <w:rPr>
          <w:rFonts w:ascii="Arial" w:hAnsi="Arial" w:cs="Arial"/>
          <w:color w:val="1A1C1E"/>
          <w:sz w:val="20"/>
          <w:szCs w:val="20"/>
        </w:rPr>
        <w:br/>
      </w:r>
      <w:r>
        <w:rPr>
          <w:rStyle w:val="ng-star-inserted"/>
          <w:rFonts w:ascii="Arial" w:hAnsi="Arial" w:cs="Arial" w:hint="eastAsia"/>
          <w:color w:val="1A1C1E"/>
          <w:sz w:val="20"/>
          <w:szCs w:val="20"/>
          <w:shd w:val="clear" w:color="auto" w:fill="FFFFFF"/>
        </w:rPr>
        <w:t>Cladogram mapping the fungal biomarkers from Supplementary Figure 12. Notable geographic and disease-specific associations include the enrichment of Malasseziaceae in Beijing healthy controls (OCB), Saccharomycopsidaceae in the Shandong AGA vertex (TAS), and Thermoascaceae in the Shandong AGA occipital (OAS).</w:t>
      </w:r>
    </w:p>
    <w:p w14:paraId="61E48908" w14:textId="77777777" w:rsidR="0062521E" w:rsidRDefault="00F417E0">
      <w:pPr>
        <w:rPr>
          <w:rFonts w:ascii="Arial" w:hAnsi="Arial" w:cs="Arial"/>
          <w:sz w:val="20"/>
          <w:szCs w:val="20"/>
        </w:rPr>
      </w:pPr>
      <w:r>
        <w:rPr>
          <w:rStyle w:val="ng-star-inserted"/>
          <w:rFonts w:ascii="Arial" w:hAnsi="Arial" w:cs="Arial"/>
          <w:b/>
          <w:bCs/>
          <w:color w:val="1A1C1E"/>
          <w:sz w:val="20"/>
          <w:szCs w:val="20"/>
          <w:shd w:val="clear" w:color="auto" w:fill="FFFFFF"/>
        </w:rPr>
        <w:t>Abbreviations:</w:t>
      </w:r>
      <w:r>
        <w:rPr>
          <w:rStyle w:val="ng-star-inserted"/>
          <w:rFonts w:ascii="Arial" w:hAnsi="Arial" w:cs="Arial"/>
          <w:color w:val="1A1C1E"/>
          <w:sz w:val="20"/>
          <w:szCs w:val="20"/>
          <w:shd w:val="clear" w:color="auto" w:fill="FFFFFF"/>
        </w:rPr>
        <w:t> TAB, AGA vertex (Beijing); OAB, AGA occipital (Beijing); TAS, AGA vertex (Shandong); OAS, AGA occipital (Shandong); TCB, control vertex (Beijing); OCB, control occipital (Beijing); TCS, control vertex (Shandong); OCS, control occipital (Shandong); LDA, Linear Discriminant Analysis; LEfSe, Linear Discriminant Analysis Effect Size.</w:t>
      </w:r>
    </w:p>
    <w:sectPr w:rsidR="0062521E">
      <w:footerReference w:type="even" r:id="rId6"/>
      <w:footerReference w:type="default" r:id="rId7"/>
      <w:footerReference w:type="firs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FF4F5" w14:textId="77777777" w:rsidR="00591A4F" w:rsidRDefault="00591A4F" w:rsidP="004B25D4">
      <w:r>
        <w:separator/>
      </w:r>
    </w:p>
  </w:endnote>
  <w:endnote w:type="continuationSeparator" w:id="0">
    <w:p w14:paraId="72A5C37D" w14:textId="77777777" w:rsidR="00591A4F" w:rsidRDefault="00591A4F" w:rsidP="004B2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rial Bold Italic">
    <w:altName w:val="Arial"/>
    <w:panose1 w:val="020B0704020202090204"/>
    <w:charset w:val="00"/>
    <w:family w:val="auto"/>
    <w:pitch w:val="default"/>
    <w:sig w:usb0="E0000AFF" w:usb1="00007843" w:usb2="00000001" w:usb3="00000000" w:csb0="400001BF" w:csb1="DFF70000"/>
  </w:font>
  <w:font w:name="Arial Italic">
    <w:altName w:val="Arial"/>
    <w:panose1 w:val="020B0604020202090204"/>
    <w:charset w:val="00"/>
    <w:family w:val="auto"/>
    <w:pitch w:val="default"/>
    <w:sig w:usb0="E0000AFF" w:usb1="00007843" w:usb2="00000001" w:usb3="00000000" w:csb0="400001BF" w:csb1="DFF70000"/>
  </w:font>
  <w:font w:name="Arial Regular">
    <w:altName w:val="Arial"/>
    <w:charset w:val="00"/>
    <w:family w:val="auto"/>
    <w:pitch w:val="default"/>
    <w:sig w:usb0="E0000AFF" w:usb1="00007843" w:usb2="00000001" w:usb3="00000000" w:csb0="400001BF" w:csb1="DFF70000"/>
  </w:font>
  <w:font w:name="sans-serif">
    <w:altName w:val="苹方-简"/>
    <w:charset w:val="00"/>
    <w:family w:val="auto"/>
    <w:pitch w:val="default"/>
  </w:font>
  <w:font w:name="Rockwell">
    <w:panose1 w:val="02060603020205020403"/>
    <w:charset w:val="00"/>
    <w:family w:val="roman"/>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1FDB3" w14:textId="2DF0BD44" w:rsidR="004B25D4" w:rsidRDefault="004B25D4">
    <w:pPr>
      <w:pStyle w:val="Footer"/>
    </w:pPr>
    <w:r>
      <w:rPr>
        <w:noProof/>
      </w:rPr>
      <mc:AlternateContent>
        <mc:Choice Requires="wps">
          <w:drawing>
            <wp:anchor distT="0" distB="0" distL="0" distR="0" simplePos="0" relativeHeight="251659264" behindDoc="0" locked="0" layoutInCell="1" allowOverlap="1" wp14:anchorId="0799B3FF" wp14:editId="42D6F5E3">
              <wp:simplePos x="635" y="635"/>
              <wp:positionH relativeFrom="page">
                <wp:align>left</wp:align>
              </wp:positionH>
              <wp:positionV relativeFrom="page">
                <wp:align>bottom</wp:align>
              </wp:positionV>
              <wp:extent cx="2077085" cy="324485"/>
              <wp:effectExtent l="0" t="0" r="18415" b="0"/>
              <wp:wrapNone/>
              <wp:docPr id="366590060" name="Text Box 2" descr="Information Classification: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077085" cy="324485"/>
                      </a:xfrm>
                      <a:prstGeom prst="rect">
                        <a:avLst/>
                      </a:prstGeom>
                      <a:noFill/>
                      <a:ln>
                        <a:noFill/>
                      </a:ln>
                    </wps:spPr>
                    <wps:txbx>
                      <w:txbxContent>
                        <w:p w14:paraId="23CD3689" w14:textId="12B1DC65" w:rsidR="004B25D4" w:rsidRPr="004B25D4" w:rsidRDefault="004B25D4" w:rsidP="004B25D4">
                          <w:pPr>
                            <w:rPr>
                              <w:rFonts w:ascii="Rockwell" w:eastAsia="Rockwell" w:hAnsi="Rockwell" w:cs="Rockwell"/>
                              <w:noProof/>
                              <w:color w:val="0078D7"/>
                              <w:sz w:val="18"/>
                              <w:szCs w:val="18"/>
                            </w:rPr>
                          </w:pPr>
                          <w:r w:rsidRPr="004B25D4">
                            <w:rPr>
                              <w:rFonts w:ascii="Rockwell" w:eastAsia="Rockwell" w:hAnsi="Rockwell" w:cs="Rockwell"/>
                              <w:noProof/>
                              <w:color w:val="0078D7"/>
                              <w:sz w:val="18"/>
                              <w:szCs w:val="18"/>
                            </w:rPr>
                            <w:t>Information Classification: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799B3FF" id="_x0000_t202" coordsize="21600,21600" o:spt="202" path="m,l,21600r21600,l21600,xe">
              <v:stroke joinstyle="miter"/>
              <v:path gradientshapeok="t" o:connecttype="rect"/>
            </v:shapetype>
            <v:shape id="Text Box 2" o:spid="_x0000_s1026" type="#_x0000_t202" alt="Information Classification: General" style="position:absolute;left:0;text-align:left;margin-left:0;margin-top:0;width:163.55pt;height:25.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" filled="f" stroked="f">
              <v:textbox style="mso-fit-shape-to-text:t" inset="20pt,0,0,15pt">
                <w:txbxContent>
                  <w:p w14:paraId="23CD3689" w14:textId="12B1DC65" w:rsidR="004B25D4" w:rsidRPr="004B25D4" w:rsidRDefault="004B25D4" w:rsidP="004B25D4">
                    <w:pPr>
                      <w:rPr>
                        <w:rFonts w:ascii="Rockwell" w:eastAsia="Rockwell" w:hAnsi="Rockwell" w:cs="Rockwell"/>
                        <w:noProof/>
                        <w:color w:val="0078D7"/>
                        <w:sz w:val="18"/>
                        <w:szCs w:val="18"/>
                      </w:rPr>
                    </w:pPr>
                    <w:r w:rsidRPr="004B25D4">
                      <w:rPr>
                        <w:rFonts w:ascii="Rockwell" w:eastAsia="Rockwell" w:hAnsi="Rockwell" w:cs="Rockwell"/>
                        <w:noProof/>
                        <w:color w:val="0078D7"/>
                        <w:sz w:val="18"/>
                        <w:szCs w:val="18"/>
                      </w:rPr>
                      <w:t>Information Classification: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8F5EA" w14:textId="6656408D" w:rsidR="004B25D4" w:rsidRDefault="004B25D4">
    <w:pPr>
      <w:pStyle w:val="Footer"/>
    </w:pPr>
    <w:r>
      <w:rPr>
        <w:noProof/>
      </w:rPr>
      <mc:AlternateContent>
        <mc:Choice Requires="wps">
          <w:drawing>
            <wp:anchor distT="0" distB="0" distL="0" distR="0" simplePos="0" relativeHeight="251660288" behindDoc="0" locked="0" layoutInCell="1" allowOverlap="1" wp14:anchorId="15F75C68" wp14:editId="387D4380">
              <wp:simplePos x="635" y="635"/>
              <wp:positionH relativeFrom="page">
                <wp:align>left</wp:align>
              </wp:positionH>
              <wp:positionV relativeFrom="page">
                <wp:align>bottom</wp:align>
              </wp:positionV>
              <wp:extent cx="2077085" cy="324485"/>
              <wp:effectExtent l="0" t="0" r="18415" b="0"/>
              <wp:wrapNone/>
              <wp:docPr id="960541957" name="Text Box 3" descr="Information Classification: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077085" cy="324485"/>
                      </a:xfrm>
                      <a:prstGeom prst="rect">
                        <a:avLst/>
                      </a:prstGeom>
                      <a:noFill/>
                      <a:ln>
                        <a:noFill/>
                      </a:ln>
                    </wps:spPr>
                    <wps:txbx>
                      <w:txbxContent>
                        <w:p w14:paraId="13FD4D26" w14:textId="778555F6" w:rsidR="004B25D4" w:rsidRPr="004B25D4" w:rsidRDefault="004B25D4" w:rsidP="004B25D4">
                          <w:pPr>
                            <w:rPr>
                              <w:rFonts w:ascii="Rockwell" w:eastAsia="Rockwell" w:hAnsi="Rockwell" w:cs="Rockwell"/>
                              <w:noProof/>
                              <w:color w:val="0078D7"/>
                              <w:sz w:val="18"/>
                              <w:szCs w:val="18"/>
                            </w:rPr>
                          </w:pPr>
                          <w:r w:rsidRPr="004B25D4">
                            <w:rPr>
                              <w:rFonts w:ascii="Rockwell" w:eastAsia="Rockwell" w:hAnsi="Rockwell" w:cs="Rockwell"/>
                              <w:noProof/>
                              <w:color w:val="0078D7"/>
                              <w:sz w:val="18"/>
                              <w:szCs w:val="18"/>
                            </w:rPr>
                            <w:t>Information Classification: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5F75C68" id="_x0000_t202" coordsize="21600,21600" o:spt="202" path="m,l,21600r21600,l21600,xe">
              <v:stroke joinstyle="miter"/>
              <v:path gradientshapeok="t" o:connecttype="rect"/>
            </v:shapetype>
            <v:shape id="Text Box 3" o:spid="_x0000_s1027" type="#_x0000_t202" alt="Information Classification: General" style="position:absolute;left:0;text-align:left;margin-left:0;margin-top:0;width:163.55pt;height:25.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" filled="f" stroked="f">
              <v:textbox style="mso-fit-shape-to-text:t" inset="20pt,0,0,15pt">
                <w:txbxContent>
                  <w:p w14:paraId="13FD4D26" w14:textId="778555F6" w:rsidR="004B25D4" w:rsidRPr="004B25D4" w:rsidRDefault="004B25D4" w:rsidP="004B25D4">
                    <w:pPr>
                      <w:rPr>
                        <w:rFonts w:ascii="Rockwell" w:eastAsia="Rockwell" w:hAnsi="Rockwell" w:cs="Rockwell"/>
                        <w:noProof/>
                        <w:color w:val="0078D7"/>
                        <w:sz w:val="18"/>
                        <w:szCs w:val="18"/>
                      </w:rPr>
                    </w:pPr>
                    <w:r w:rsidRPr="004B25D4">
                      <w:rPr>
                        <w:rFonts w:ascii="Rockwell" w:eastAsia="Rockwell" w:hAnsi="Rockwell" w:cs="Rockwell"/>
                        <w:noProof/>
                        <w:color w:val="0078D7"/>
                        <w:sz w:val="18"/>
                        <w:szCs w:val="18"/>
                      </w:rPr>
                      <w:t>Information Classification: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A0AC7" w14:textId="6231CC58" w:rsidR="004B25D4" w:rsidRDefault="004B25D4">
    <w:pPr>
      <w:pStyle w:val="Footer"/>
    </w:pPr>
    <w:r>
      <w:rPr>
        <w:noProof/>
      </w:rPr>
      <mc:AlternateContent>
        <mc:Choice Requires="wps">
          <w:drawing>
            <wp:anchor distT="0" distB="0" distL="0" distR="0" simplePos="0" relativeHeight="251658240" behindDoc="0" locked="0" layoutInCell="1" allowOverlap="1" wp14:anchorId="2B793CD0" wp14:editId="1EB306A0">
              <wp:simplePos x="635" y="635"/>
              <wp:positionH relativeFrom="page">
                <wp:align>left</wp:align>
              </wp:positionH>
              <wp:positionV relativeFrom="page">
                <wp:align>bottom</wp:align>
              </wp:positionV>
              <wp:extent cx="2077085" cy="324485"/>
              <wp:effectExtent l="0" t="0" r="18415" b="0"/>
              <wp:wrapNone/>
              <wp:docPr id="741901295" name="Text Box 1" descr="Information Classification: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077085" cy="324485"/>
                      </a:xfrm>
                      <a:prstGeom prst="rect">
                        <a:avLst/>
                      </a:prstGeom>
                      <a:noFill/>
                      <a:ln>
                        <a:noFill/>
                      </a:ln>
                    </wps:spPr>
                    <wps:txbx>
                      <w:txbxContent>
                        <w:p w14:paraId="2735DEE5" w14:textId="58B4BBF9" w:rsidR="004B25D4" w:rsidRPr="004B25D4" w:rsidRDefault="004B25D4" w:rsidP="004B25D4">
                          <w:pPr>
                            <w:rPr>
                              <w:rFonts w:ascii="Rockwell" w:eastAsia="Rockwell" w:hAnsi="Rockwell" w:cs="Rockwell"/>
                              <w:noProof/>
                              <w:color w:val="0078D7"/>
                              <w:sz w:val="18"/>
                              <w:szCs w:val="18"/>
                            </w:rPr>
                          </w:pPr>
                          <w:r w:rsidRPr="004B25D4">
                            <w:rPr>
                              <w:rFonts w:ascii="Rockwell" w:eastAsia="Rockwell" w:hAnsi="Rockwell" w:cs="Rockwell"/>
                              <w:noProof/>
                              <w:color w:val="0078D7"/>
                              <w:sz w:val="18"/>
                              <w:szCs w:val="18"/>
                            </w:rPr>
                            <w:t>Information Classification: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B793CD0" id="_x0000_t202" coordsize="21600,21600" o:spt="202" path="m,l,21600r21600,l21600,xe">
              <v:stroke joinstyle="miter"/>
              <v:path gradientshapeok="t" o:connecttype="rect"/>
            </v:shapetype>
            <v:shape id="Text Box 1" o:spid="_x0000_s1028" type="#_x0000_t202" alt="Information Classification: General" style="position:absolute;left:0;text-align:left;margin-left:0;margin-top:0;width:163.55pt;height:25.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" filled="f" stroked="f">
              <v:textbox style="mso-fit-shape-to-text:t" inset="20pt,0,0,15pt">
                <w:txbxContent>
                  <w:p w14:paraId="2735DEE5" w14:textId="58B4BBF9" w:rsidR="004B25D4" w:rsidRPr="004B25D4" w:rsidRDefault="004B25D4" w:rsidP="004B25D4">
                    <w:pPr>
                      <w:rPr>
                        <w:rFonts w:ascii="Rockwell" w:eastAsia="Rockwell" w:hAnsi="Rockwell" w:cs="Rockwell"/>
                        <w:noProof/>
                        <w:color w:val="0078D7"/>
                        <w:sz w:val="18"/>
                        <w:szCs w:val="18"/>
                      </w:rPr>
                    </w:pPr>
                    <w:r w:rsidRPr="004B25D4">
                      <w:rPr>
                        <w:rFonts w:ascii="Rockwell" w:eastAsia="Rockwell" w:hAnsi="Rockwell" w:cs="Rockwell"/>
                        <w:noProof/>
                        <w:color w:val="0078D7"/>
                        <w:sz w:val="18"/>
                        <w:szCs w:val="18"/>
                      </w:rPr>
                      <w:t>Information Classification: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0B132" w14:textId="77777777" w:rsidR="00591A4F" w:rsidRDefault="00591A4F" w:rsidP="004B25D4">
      <w:r>
        <w:separator/>
      </w:r>
    </w:p>
  </w:footnote>
  <w:footnote w:type="continuationSeparator" w:id="0">
    <w:p w14:paraId="01F77201" w14:textId="77777777" w:rsidR="00591A4F" w:rsidRDefault="00591A4F" w:rsidP="004B25D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4B20"/>
    <w:rsid w:val="00001373"/>
    <w:rsid w:val="00006DF3"/>
    <w:rsid w:val="00033549"/>
    <w:rsid w:val="000422AD"/>
    <w:rsid w:val="00046BDF"/>
    <w:rsid w:val="00054523"/>
    <w:rsid w:val="00056425"/>
    <w:rsid w:val="000605EC"/>
    <w:rsid w:val="000851C6"/>
    <w:rsid w:val="000876FF"/>
    <w:rsid w:val="00097F44"/>
    <w:rsid w:val="000A7C7D"/>
    <w:rsid w:val="000C1EC8"/>
    <w:rsid w:val="000E07E4"/>
    <w:rsid w:val="000E5484"/>
    <w:rsid w:val="000F04E4"/>
    <w:rsid w:val="000F253F"/>
    <w:rsid w:val="000F79EB"/>
    <w:rsid w:val="0015064F"/>
    <w:rsid w:val="00151BED"/>
    <w:rsid w:val="00164886"/>
    <w:rsid w:val="0018413C"/>
    <w:rsid w:val="00192246"/>
    <w:rsid w:val="001C2F12"/>
    <w:rsid w:val="001C4C20"/>
    <w:rsid w:val="001C622F"/>
    <w:rsid w:val="001D44F3"/>
    <w:rsid w:val="001D5793"/>
    <w:rsid w:val="0020205F"/>
    <w:rsid w:val="00206969"/>
    <w:rsid w:val="0023185B"/>
    <w:rsid w:val="00244243"/>
    <w:rsid w:val="002528D5"/>
    <w:rsid w:val="0025415A"/>
    <w:rsid w:val="00265001"/>
    <w:rsid w:val="002731B8"/>
    <w:rsid w:val="00273B32"/>
    <w:rsid w:val="002A62F4"/>
    <w:rsid w:val="002A72C3"/>
    <w:rsid w:val="002C43ED"/>
    <w:rsid w:val="002E59A9"/>
    <w:rsid w:val="002F45E8"/>
    <w:rsid w:val="003100D0"/>
    <w:rsid w:val="00324B20"/>
    <w:rsid w:val="00330D06"/>
    <w:rsid w:val="00355B7C"/>
    <w:rsid w:val="00357543"/>
    <w:rsid w:val="0038472E"/>
    <w:rsid w:val="0039516F"/>
    <w:rsid w:val="003A7B33"/>
    <w:rsid w:val="003D7510"/>
    <w:rsid w:val="003E0C55"/>
    <w:rsid w:val="00480DD4"/>
    <w:rsid w:val="0048313B"/>
    <w:rsid w:val="004930C8"/>
    <w:rsid w:val="004A219B"/>
    <w:rsid w:val="004A6027"/>
    <w:rsid w:val="004B25D4"/>
    <w:rsid w:val="004B3617"/>
    <w:rsid w:val="004C3011"/>
    <w:rsid w:val="004D20F8"/>
    <w:rsid w:val="004D4167"/>
    <w:rsid w:val="004E6032"/>
    <w:rsid w:val="004E68CD"/>
    <w:rsid w:val="00503B21"/>
    <w:rsid w:val="00507DE8"/>
    <w:rsid w:val="005147D5"/>
    <w:rsid w:val="0051635A"/>
    <w:rsid w:val="0051659D"/>
    <w:rsid w:val="0051750D"/>
    <w:rsid w:val="00517A58"/>
    <w:rsid w:val="005312D3"/>
    <w:rsid w:val="00540B55"/>
    <w:rsid w:val="00541DC7"/>
    <w:rsid w:val="005525E7"/>
    <w:rsid w:val="005575AB"/>
    <w:rsid w:val="00580CE5"/>
    <w:rsid w:val="00582C53"/>
    <w:rsid w:val="005857A1"/>
    <w:rsid w:val="00585883"/>
    <w:rsid w:val="00591A4F"/>
    <w:rsid w:val="005B3C6E"/>
    <w:rsid w:val="005B6421"/>
    <w:rsid w:val="005E31B0"/>
    <w:rsid w:val="00603028"/>
    <w:rsid w:val="00616964"/>
    <w:rsid w:val="00621737"/>
    <w:rsid w:val="0062521E"/>
    <w:rsid w:val="00633010"/>
    <w:rsid w:val="006511C2"/>
    <w:rsid w:val="00651730"/>
    <w:rsid w:val="00671414"/>
    <w:rsid w:val="006747EF"/>
    <w:rsid w:val="00692F37"/>
    <w:rsid w:val="006B1618"/>
    <w:rsid w:val="006B28F2"/>
    <w:rsid w:val="006B713B"/>
    <w:rsid w:val="006C0400"/>
    <w:rsid w:val="006D5D20"/>
    <w:rsid w:val="00707364"/>
    <w:rsid w:val="0072249C"/>
    <w:rsid w:val="00730FFD"/>
    <w:rsid w:val="007327EB"/>
    <w:rsid w:val="007421E4"/>
    <w:rsid w:val="0074455D"/>
    <w:rsid w:val="0074542C"/>
    <w:rsid w:val="00756164"/>
    <w:rsid w:val="00771E13"/>
    <w:rsid w:val="0077398C"/>
    <w:rsid w:val="00776BFD"/>
    <w:rsid w:val="00791F74"/>
    <w:rsid w:val="00792305"/>
    <w:rsid w:val="007A447B"/>
    <w:rsid w:val="007F0A14"/>
    <w:rsid w:val="00801EF1"/>
    <w:rsid w:val="00814E9F"/>
    <w:rsid w:val="0082062D"/>
    <w:rsid w:val="00834603"/>
    <w:rsid w:val="00852D0E"/>
    <w:rsid w:val="00860E52"/>
    <w:rsid w:val="0086507F"/>
    <w:rsid w:val="00893DFF"/>
    <w:rsid w:val="008A399A"/>
    <w:rsid w:val="008B2636"/>
    <w:rsid w:val="008C521F"/>
    <w:rsid w:val="008D11B6"/>
    <w:rsid w:val="008F7DCC"/>
    <w:rsid w:val="00917A4F"/>
    <w:rsid w:val="00921C16"/>
    <w:rsid w:val="00922D08"/>
    <w:rsid w:val="0092362E"/>
    <w:rsid w:val="00943AD7"/>
    <w:rsid w:val="00977934"/>
    <w:rsid w:val="00997C9F"/>
    <w:rsid w:val="009A25C2"/>
    <w:rsid w:val="009C62E8"/>
    <w:rsid w:val="009D2D33"/>
    <w:rsid w:val="009D30D6"/>
    <w:rsid w:val="009E6C3F"/>
    <w:rsid w:val="00A02C94"/>
    <w:rsid w:val="00A22110"/>
    <w:rsid w:val="00A318AB"/>
    <w:rsid w:val="00A400FC"/>
    <w:rsid w:val="00A43AE3"/>
    <w:rsid w:val="00A6753C"/>
    <w:rsid w:val="00A749E6"/>
    <w:rsid w:val="00A86C7D"/>
    <w:rsid w:val="00A94481"/>
    <w:rsid w:val="00AA1571"/>
    <w:rsid w:val="00AC5B55"/>
    <w:rsid w:val="00AD2B87"/>
    <w:rsid w:val="00AD3D4F"/>
    <w:rsid w:val="00AE08B7"/>
    <w:rsid w:val="00AE281D"/>
    <w:rsid w:val="00AE349B"/>
    <w:rsid w:val="00AE583A"/>
    <w:rsid w:val="00AF34DD"/>
    <w:rsid w:val="00AF649D"/>
    <w:rsid w:val="00B07046"/>
    <w:rsid w:val="00B106DE"/>
    <w:rsid w:val="00B11ABD"/>
    <w:rsid w:val="00B12331"/>
    <w:rsid w:val="00B448BC"/>
    <w:rsid w:val="00B5638A"/>
    <w:rsid w:val="00B64972"/>
    <w:rsid w:val="00B6620F"/>
    <w:rsid w:val="00BA5C7F"/>
    <w:rsid w:val="00BA6B92"/>
    <w:rsid w:val="00BC69DC"/>
    <w:rsid w:val="00BF1735"/>
    <w:rsid w:val="00C0218F"/>
    <w:rsid w:val="00C10EE6"/>
    <w:rsid w:val="00C36758"/>
    <w:rsid w:val="00C5430A"/>
    <w:rsid w:val="00C56A46"/>
    <w:rsid w:val="00C5711A"/>
    <w:rsid w:val="00C627FD"/>
    <w:rsid w:val="00C6496C"/>
    <w:rsid w:val="00C80391"/>
    <w:rsid w:val="00C84F90"/>
    <w:rsid w:val="00C93156"/>
    <w:rsid w:val="00CA79C8"/>
    <w:rsid w:val="00CB3FCE"/>
    <w:rsid w:val="00CC42C0"/>
    <w:rsid w:val="00CD5E75"/>
    <w:rsid w:val="00CD7DA5"/>
    <w:rsid w:val="00CE62E0"/>
    <w:rsid w:val="00D062CA"/>
    <w:rsid w:val="00D10E31"/>
    <w:rsid w:val="00D11C4B"/>
    <w:rsid w:val="00D2047C"/>
    <w:rsid w:val="00D26E65"/>
    <w:rsid w:val="00D40985"/>
    <w:rsid w:val="00D43039"/>
    <w:rsid w:val="00D528C1"/>
    <w:rsid w:val="00D777A4"/>
    <w:rsid w:val="00DA3BC0"/>
    <w:rsid w:val="00DF3B94"/>
    <w:rsid w:val="00E141E0"/>
    <w:rsid w:val="00E142F4"/>
    <w:rsid w:val="00E64FDD"/>
    <w:rsid w:val="00EA199C"/>
    <w:rsid w:val="00EA4975"/>
    <w:rsid w:val="00EB3511"/>
    <w:rsid w:val="00EB6DC2"/>
    <w:rsid w:val="00EC5851"/>
    <w:rsid w:val="00ED4BAD"/>
    <w:rsid w:val="00ED5C28"/>
    <w:rsid w:val="00EE2236"/>
    <w:rsid w:val="00EF3B8D"/>
    <w:rsid w:val="00EF7FD1"/>
    <w:rsid w:val="00F13F11"/>
    <w:rsid w:val="00F23CBE"/>
    <w:rsid w:val="00F40516"/>
    <w:rsid w:val="00F417E0"/>
    <w:rsid w:val="00F53AD0"/>
    <w:rsid w:val="00F55D2B"/>
    <w:rsid w:val="00F634D4"/>
    <w:rsid w:val="00F647DF"/>
    <w:rsid w:val="00F7469B"/>
    <w:rsid w:val="00F80E08"/>
    <w:rsid w:val="00F82A02"/>
    <w:rsid w:val="00F919EC"/>
    <w:rsid w:val="00F92711"/>
    <w:rsid w:val="00F93CA3"/>
    <w:rsid w:val="00FC23EB"/>
    <w:rsid w:val="00FD467C"/>
    <w:rsid w:val="75F542B8"/>
    <w:rsid w:val="D7F702FF"/>
    <w:rsid w:val="EF3F20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488DB"/>
  <w15:docId w15:val="{F7958DC3-C3F0-435B-9948-9740262E5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NZ" w:eastAsia="en-N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rPr>
  </w:style>
  <w:style w:type="paragraph" w:styleId="Heading1">
    <w:name w:val="heading 1"/>
    <w:basedOn w:val="Normal"/>
    <w:next w:val="Normal"/>
    <w:link w:val="Heading1Char"/>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pPr>
      <w:keepNext/>
      <w:keepLines/>
      <w:spacing w:before="80" w:after="40"/>
      <w:outlineLvl w:val="4"/>
    </w:pPr>
    <w:rPr>
      <w:rFonts w:cstheme="majorBidi"/>
      <w:color w:val="0F4761" w:themeColor="accent1" w:themeShade="BF"/>
      <w:sz w:val="24"/>
    </w:rPr>
  </w:style>
  <w:style w:type="paragraph" w:styleId="Heading6">
    <w:name w:val="heading 6"/>
    <w:basedOn w:val="Normal"/>
    <w:next w:val="Normal"/>
    <w:link w:val="Heading6Char"/>
    <w:uiPriority w:val="9"/>
    <w:semiHidden/>
    <w:unhideWhenUsed/>
    <w:qFormat/>
    <w:pPr>
      <w:keepNext/>
      <w:keepLines/>
      <w:spacing w:before="4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pPr>
      <w:keepNext/>
      <w:keepLines/>
      <w:spacing w:before="4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pPr>
      <w:keepNext/>
      <w:keepLines/>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pPr>
      <w:keepNext/>
      <w:keepLines/>
      <w:outlineLvl w:val="8"/>
    </w:pPr>
    <w:rPr>
      <w:rFonts w:eastAsiaTheme="majorEastAsia" w:cstheme="majorBidi"/>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itle">
    <w:name w:val="Title"/>
    <w:basedOn w:val="Normal"/>
    <w:next w:val="Normal"/>
    <w:link w:val="TitleChar"/>
    <w:uiPriority w:val="10"/>
    <w:qFormat/>
    <w:pPr>
      <w:spacing w:after="80"/>
      <w:contextualSpacing/>
      <w:jc w:val="center"/>
    </w:pPr>
    <w:rPr>
      <w:rFonts w:asciiTheme="majorHAnsi" w:eastAsiaTheme="majorEastAsia" w:hAnsiTheme="majorHAnsi" w:cstheme="majorBidi"/>
      <w:spacing w:val="-10"/>
      <w:kern w:val="28"/>
      <w:sz w:val="56"/>
      <w:szCs w:val="56"/>
    </w:rPr>
  </w:style>
  <w:style w:type="character" w:styleId="Emphasis">
    <w:name w:val="Emphasis"/>
    <w:basedOn w:val="DefaultParagraphFont"/>
    <w:uiPriority w:val="20"/>
    <w:qFormat/>
    <w:rPr>
      <w:i/>
      <w:iCs/>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Pr>
      <w:rFonts w:cstheme="majorBidi"/>
      <w:color w:val="0F4761" w:themeColor="accent1" w:themeShade="BF"/>
      <w:sz w:val="24"/>
    </w:rPr>
  </w:style>
  <w:style w:type="character" w:customStyle="1" w:styleId="Heading6Char">
    <w:name w:val="Heading 6 Char"/>
    <w:basedOn w:val="DefaultParagraphFont"/>
    <w:link w:val="Heading6"/>
    <w:uiPriority w:val="9"/>
    <w:semiHidden/>
    <w:rPr>
      <w:rFonts w:cstheme="majorBidi"/>
      <w:b/>
      <w:bCs/>
      <w:color w:val="0F4761" w:themeColor="accent1" w:themeShade="BF"/>
    </w:rPr>
  </w:style>
  <w:style w:type="character" w:customStyle="1" w:styleId="Heading7Char">
    <w:name w:val="Heading 7 Char"/>
    <w:basedOn w:val="DefaultParagraphFont"/>
    <w:link w:val="Heading7"/>
    <w:uiPriority w:val="9"/>
    <w:semiHidden/>
    <w:rPr>
      <w:rFonts w:cstheme="majorBidi"/>
      <w:b/>
      <w:bCs/>
      <w:color w:val="595959" w:themeColor="text1" w:themeTint="A6"/>
    </w:rPr>
  </w:style>
  <w:style w:type="character" w:customStyle="1" w:styleId="Heading8Char">
    <w:name w:val="Heading 8 Char"/>
    <w:basedOn w:val="DefaultParagraphFont"/>
    <w:link w:val="Heading8"/>
    <w:uiPriority w:val="9"/>
    <w:semiHidden/>
    <w:rPr>
      <w:rFonts w:cstheme="majorBidi"/>
      <w:color w:val="595959" w:themeColor="text1" w:themeTint="A6"/>
    </w:rPr>
  </w:style>
  <w:style w:type="character" w:customStyle="1" w:styleId="Heading9Char">
    <w:name w:val="Heading 9 Char"/>
    <w:basedOn w:val="DefaultParagraphFont"/>
    <w:link w:val="Heading9"/>
    <w:uiPriority w:val="9"/>
    <w:semiHidden/>
    <w:rPr>
      <w:rFonts w:eastAsiaTheme="majorEastAsia" w:cstheme="majorBidi"/>
      <w:color w:val="595959" w:themeColor="text1" w:themeTint="A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after="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34"/>
    <w:qFormat/>
    <w:pPr>
      <w:ind w:left="720"/>
      <w:contextualSpacing/>
    </w:p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Pr>
      <w:i/>
      <w:iCs/>
      <w:color w:val="0F4761" w:themeColor="accent1" w:themeShade="BF"/>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character" w:customStyle="1" w:styleId="ng-star-inserted1">
    <w:name w:val="ng-star-inserted1"/>
    <w:basedOn w:val="DefaultParagraphFont"/>
  </w:style>
  <w:style w:type="character" w:customStyle="1" w:styleId="ng-star-inserted">
    <w:name w:val="ng-star-inserted"/>
    <w:basedOn w:val="DefaultParagraphFont"/>
  </w:style>
  <w:style w:type="character" w:styleId="CommentReference">
    <w:name w:val="annotation reference"/>
    <w:basedOn w:val="DefaultParagraphFont"/>
    <w:uiPriority w:val="99"/>
    <w:semiHidden/>
    <w:unhideWhenUsed/>
    <w:rsid w:val="004B25D4"/>
    <w:rPr>
      <w:sz w:val="16"/>
      <w:szCs w:val="16"/>
    </w:rPr>
  </w:style>
  <w:style w:type="paragraph" w:styleId="CommentText">
    <w:name w:val="annotation text"/>
    <w:basedOn w:val="Normal"/>
    <w:link w:val="CommentTextChar"/>
    <w:uiPriority w:val="99"/>
    <w:unhideWhenUsed/>
    <w:rsid w:val="004B25D4"/>
    <w:rPr>
      <w:sz w:val="20"/>
      <w:szCs w:val="20"/>
    </w:rPr>
  </w:style>
  <w:style w:type="character" w:customStyle="1" w:styleId="CommentTextChar">
    <w:name w:val="Comment Text Char"/>
    <w:basedOn w:val="DefaultParagraphFont"/>
    <w:link w:val="CommentText"/>
    <w:uiPriority w:val="99"/>
    <w:rsid w:val="004B25D4"/>
    <w:rPr>
      <w:rFonts w:asciiTheme="minorHAnsi" w:eastAsiaTheme="minorEastAsia" w:hAnsiTheme="minorHAnsi" w:cstheme="minorBidi"/>
      <w:kern w:val="2"/>
      <w:lang w:val="en-US" w:eastAsia="zh-CN"/>
    </w:rPr>
  </w:style>
  <w:style w:type="paragraph" w:styleId="CommentSubject">
    <w:name w:val="annotation subject"/>
    <w:basedOn w:val="CommentText"/>
    <w:next w:val="CommentText"/>
    <w:link w:val="CommentSubjectChar"/>
    <w:uiPriority w:val="99"/>
    <w:semiHidden/>
    <w:unhideWhenUsed/>
    <w:rsid w:val="004B25D4"/>
    <w:rPr>
      <w:b/>
      <w:bCs/>
    </w:rPr>
  </w:style>
  <w:style w:type="character" w:customStyle="1" w:styleId="CommentSubjectChar">
    <w:name w:val="Comment Subject Char"/>
    <w:basedOn w:val="CommentTextChar"/>
    <w:link w:val="CommentSubject"/>
    <w:uiPriority w:val="99"/>
    <w:semiHidden/>
    <w:rsid w:val="004B25D4"/>
    <w:rPr>
      <w:rFonts w:asciiTheme="minorHAnsi" w:eastAsiaTheme="minorEastAsia" w:hAnsiTheme="minorHAnsi" w:cstheme="minorBidi"/>
      <w:b/>
      <w:bCs/>
      <w:kern w:val="2"/>
      <w:lang w:val="en-US" w:eastAsia="zh-CN"/>
    </w:rPr>
  </w:style>
  <w:style w:type="paragraph" w:styleId="Footer">
    <w:name w:val="footer"/>
    <w:basedOn w:val="Normal"/>
    <w:link w:val="FooterChar"/>
    <w:uiPriority w:val="99"/>
    <w:unhideWhenUsed/>
    <w:rsid w:val="004B25D4"/>
    <w:pPr>
      <w:tabs>
        <w:tab w:val="center" w:pos="4513"/>
        <w:tab w:val="right" w:pos="9026"/>
      </w:tabs>
    </w:pPr>
  </w:style>
  <w:style w:type="character" w:customStyle="1" w:styleId="FooterChar">
    <w:name w:val="Footer Char"/>
    <w:basedOn w:val="DefaultParagraphFont"/>
    <w:link w:val="Footer"/>
    <w:uiPriority w:val="99"/>
    <w:rsid w:val="004B25D4"/>
    <w:rPr>
      <w:rFonts w:asciiTheme="minorHAnsi" w:eastAsiaTheme="minorEastAsia" w:hAnsiTheme="minorHAnsi" w:cstheme="minorBidi"/>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1367</Words>
  <Characters>7795</Characters>
  <Application>Microsoft Office Word</Application>
  <DocSecurity>4</DocSecurity>
  <Lines>64</Lines>
  <Paragraphs>18</Paragraphs>
  <ScaleCrop>false</ScaleCrop>
  <Company/>
  <LinksUpToDate>false</LinksUpToDate>
  <CharactersWithSpaces>9144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Lee, Boon</cp:lastModifiedBy>
  <cp:revision>2</cp:revision>
  <dcterms:created xsi:type="dcterms:W3CDTF">2026-04-16T02:38:00Z</dcterms:created>
  <dcterms:modified xsi:type="dcterms:W3CDTF">2026-04-16T02:38:00Z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2052-12.1.24031.24031</vt:lpwstr>
  </property>
  <property fmtid="{D5CDD505-2E9C-101B-9397-08002B2CF9AE}" pid="3" name="ICV">
    <vt:lpwstr>DB6719A880AF3AF4165CAE6934499EBE_42</vt:lpwstr>
  </property>
  <property fmtid="{D5CDD505-2E9C-101B-9397-08002B2CF9AE}" pid="4" name="ClassificationContentMarkingFooterShapeIds">
    <vt:lpwstr>2c3883ef,15d9b86c,3940b505</vt:lpwstr>
  </property>
  <property fmtid="{D5CDD505-2E9C-101B-9397-08002B2CF9AE}" pid="5" name="ClassificationContentMarkingFooterFontProps">
    <vt:lpwstr>#0078d7,9,Rockwell</vt:lpwstr>
  </property>
  <property fmtid="{D5CDD505-2E9C-101B-9397-08002B2CF9AE}" pid="6" name="ClassificationContentMarkingFooterText">
    <vt:lpwstr>Information Classification: General</vt:lpwstr>
  </property>
  <property fmtid="{D5CDD505-2E9C-101B-9397-08002B2CF9AE}" pid="7" name="MSIP_Label_2bbab825-a111-45e4-86a1-18cee0005896_Enabled">
    <vt:lpwstr>true</vt:lpwstr>
  </property>
  <property fmtid="{D5CDD505-2E9C-101B-9397-08002B2CF9AE}" pid="8" name="MSIP_Label_2bbab825-a111-45e4-86a1-18cee0005896_SetDate">
    <vt:lpwstr>2026-03-09T22:34:54Z</vt:lpwstr>
  </property>
  <property fmtid="{D5CDD505-2E9C-101B-9397-08002B2CF9AE}" pid="9" name="MSIP_Label_2bbab825-a111-45e4-86a1-18cee0005896_Method">
    <vt:lpwstr>Standard</vt:lpwstr>
  </property>
  <property fmtid="{D5CDD505-2E9C-101B-9397-08002B2CF9AE}" pid="10" name="MSIP_Label_2bbab825-a111-45e4-86a1-18cee0005896_Name">
    <vt:lpwstr>2bbab825-a111-45e4-86a1-18cee0005896</vt:lpwstr>
  </property>
  <property fmtid="{D5CDD505-2E9C-101B-9397-08002B2CF9AE}" pid="11" name="MSIP_Label_2bbab825-a111-45e4-86a1-18cee0005896_SiteId">
    <vt:lpwstr>2567d566-604c-408a-8a60-55d0dc9d9d6b</vt:lpwstr>
  </property>
  <property fmtid="{D5CDD505-2E9C-101B-9397-08002B2CF9AE}" pid="12" name="MSIP_Label_2bbab825-a111-45e4-86a1-18cee0005896_ActionId">
    <vt:lpwstr>e4ac1297-d1b9-4510-9789-c8d62e931762</vt:lpwstr>
  </property>
  <property fmtid="{D5CDD505-2E9C-101B-9397-08002B2CF9AE}" pid="13" name="MSIP_Label_2bbab825-a111-45e4-86a1-18cee0005896_ContentBits">
    <vt:lpwstr>2</vt:lpwstr>
  </property>
  <property fmtid="{D5CDD505-2E9C-101B-9397-08002B2CF9AE}" pid="14" name="MSIP_Label_2bbab825-a111-45e4-86a1-18cee0005896_Tag">
    <vt:lpwstr>10, 3, 0, 1</vt:lpwstr>
  </property>
</Properties>
</file>